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11063260" w14:textId="77777777" w:rsidR="004020C5" w:rsidRDefault="00475975" w:rsidP="00F1270D">
      <w:pPr>
        <w:spacing w:line="304" w:lineRule="exact"/>
        <w:jc w:val="both"/>
        <w:rPr>
          <w:rFonts w:ascii="Arial" w:hAnsi="Arial" w:cs="Arial"/>
          <w:b/>
          <w:sz w:val="22"/>
          <w:szCs w:val="22"/>
        </w:rPr>
      </w:pPr>
      <w:r w:rsidRPr="00F1451C">
        <w:rPr>
          <w:rFonts w:ascii="Arial" w:hAnsi="Arial" w:cs="Arial"/>
          <w:b/>
          <w:sz w:val="22"/>
          <w:szCs w:val="22"/>
        </w:rPr>
        <w:t>"</w:t>
      </w:r>
      <w:r w:rsidR="00F1270D" w:rsidRPr="00F1270D">
        <w:rPr>
          <w:rFonts w:ascii="Arial" w:hAnsi="Arial" w:cs="Arial"/>
          <w:sz w:val="22"/>
          <w:szCs w:val="22"/>
        </w:rPr>
        <w:t>Wykonanie usług w zakresie kontroli parametrów biomasy dostarczanej na teren Enea Elektrownia Połaniec S.A.</w:t>
      </w:r>
      <w:r w:rsidR="000306A0">
        <w:rPr>
          <w:rFonts w:ascii="Arial" w:hAnsi="Arial" w:cs="Arial"/>
          <w:sz w:val="22"/>
          <w:szCs w:val="22"/>
        </w:rPr>
        <w:t>”</w:t>
      </w:r>
      <w:r w:rsidR="002A2F41" w:rsidRPr="002A2F41">
        <w:rPr>
          <w:rFonts w:ascii="Arial" w:hAnsi="Arial" w:cs="Arial"/>
          <w:sz w:val="22"/>
          <w:szCs w:val="22"/>
        </w:rPr>
        <w:t xml:space="preserve"> w okresie </w:t>
      </w:r>
      <w:r w:rsidR="0079580F">
        <w:rPr>
          <w:rFonts w:ascii="Arial" w:hAnsi="Arial" w:cs="Arial"/>
          <w:sz w:val="22"/>
          <w:szCs w:val="22"/>
        </w:rPr>
        <w:t>24</w:t>
      </w:r>
      <w:r w:rsidR="000306A0">
        <w:rPr>
          <w:rFonts w:ascii="Arial" w:hAnsi="Arial" w:cs="Arial"/>
          <w:sz w:val="22"/>
          <w:szCs w:val="22"/>
        </w:rPr>
        <w:t xml:space="preserve"> miesięcy, jednak nie wcześniej niż </w:t>
      </w:r>
      <w:r w:rsidR="0079580F">
        <w:rPr>
          <w:rFonts w:ascii="Arial" w:hAnsi="Arial" w:cs="Arial"/>
          <w:sz w:val="22"/>
          <w:szCs w:val="22"/>
        </w:rPr>
        <w:t>od 01.11</w:t>
      </w:r>
      <w:r w:rsidR="002A2F41" w:rsidRPr="002A2F41">
        <w:rPr>
          <w:rFonts w:ascii="Arial" w:hAnsi="Arial" w:cs="Arial"/>
          <w:sz w:val="22"/>
          <w:szCs w:val="22"/>
        </w:rPr>
        <w:t>.2021 r</w:t>
      </w:r>
      <w:r w:rsidR="000306A0">
        <w:rPr>
          <w:rFonts w:ascii="Arial" w:hAnsi="Arial" w:cs="Arial"/>
          <w:sz w:val="22"/>
          <w:szCs w:val="22"/>
        </w:rPr>
        <w:t>.</w:t>
      </w:r>
      <w:r w:rsidR="004020C5" w:rsidRPr="00F1451C">
        <w:rPr>
          <w:rFonts w:ascii="Arial" w:hAnsi="Arial" w:cs="Arial"/>
          <w:b/>
          <w:sz w:val="22"/>
          <w:szCs w:val="22"/>
        </w:rPr>
        <w:t xml:space="preserve"> </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1F2FA579" w14:textId="77777777" w:rsidR="004020C5" w:rsidRDefault="004020C5" w:rsidP="00F1451C">
      <w:pPr>
        <w:spacing w:line="304" w:lineRule="exact"/>
        <w:jc w:val="center"/>
        <w:rPr>
          <w:rFonts w:ascii="Arial" w:hAnsi="Arial" w:cs="Arial"/>
          <w:b/>
          <w:sz w:val="22"/>
          <w:szCs w:val="22"/>
        </w:rPr>
      </w:pPr>
      <w:r w:rsidRPr="00F1451C">
        <w:rPr>
          <w:rFonts w:ascii="Arial" w:hAnsi="Arial" w:cs="Arial"/>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F1451C" w:rsidRPr="008F7BBE">
          <w:rPr>
            <w:rStyle w:val="Hipercze"/>
            <w:rFonts w:ascii="Arial" w:hAnsi="Arial" w:cs="Arial"/>
            <w:b/>
            <w:sz w:val="22"/>
            <w:szCs w:val="22"/>
          </w:rPr>
          <w:t>https://grupaenea-pzp.logintrade.net/rejestracja/ustawowe.html</w:t>
        </w:r>
      </w:hyperlink>
      <w:r w:rsidRPr="00F1451C">
        <w:rPr>
          <w:rFonts w:ascii="Arial" w:hAnsi="Arial" w:cs="Arial"/>
          <w:b/>
          <w:sz w:val="22"/>
          <w:szCs w:val="22"/>
        </w:rPr>
        <w:t xml:space="preserve"> </w:t>
      </w: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77777777"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79580F">
        <w:rPr>
          <w:rFonts w:ascii="Arial" w:hAnsi="Arial" w:cs="Arial"/>
          <w:sz w:val="22"/>
          <w:szCs w:val="22"/>
        </w:rPr>
        <w:t>20</w:t>
      </w:r>
      <w:r w:rsidR="00B83E76">
        <w:rPr>
          <w:rFonts w:ascii="Arial" w:hAnsi="Arial" w:cs="Arial"/>
          <w:sz w:val="22"/>
          <w:szCs w:val="22"/>
        </w:rPr>
        <w:t>/2021</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77777777" w:rsidR="004020C5" w:rsidRPr="00F1451C" w:rsidRDefault="00DD0AC1" w:rsidP="00F1270D">
      <w:pPr>
        <w:pStyle w:val="Tytu"/>
        <w:spacing w:line="304" w:lineRule="exact"/>
        <w:rPr>
          <w:rFonts w:cs="Arial"/>
          <w:caps/>
          <w:szCs w:val="22"/>
        </w:rPr>
      </w:pPr>
      <w:r w:rsidRPr="00F1451C">
        <w:rPr>
          <w:rFonts w:cs="Arial"/>
          <w:caps/>
          <w:szCs w:val="22"/>
        </w:rPr>
        <w:t>Zawada</w:t>
      </w:r>
      <w:r w:rsidR="0079580F">
        <w:rPr>
          <w:rFonts w:cs="Arial"/>
          <w:caps/>
          <w:szCs w:val="22"/>
        </w:rPr>
        <w:t xml:space="preserve"> LIPIEC</w:t>
      </w:r>
      <w:r w:rsidR="00F1270D" w:rsidRPr="00F1451C">
        <w:rPr>
          <w:rFonts w:cs="Arial"/>
          <w:caps/>
          <w:szCs w:val="22"/>
        </w:rPr>
        <w:t xml:space="preserve">  </w:t>
      </w:r>
      <w:r w:rsidR="004020C5" w:rsidRPr="00F1451C">
        <w:rPr>
          <w:rFonts w:cs="Arial"/>
          <w:caps/>
          <w:szCs w:val="22"/>
        </w:rPr>
        <w:t>2021</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r w:rsidR="00E83DB7" w:rsidRPr="00F1451C">
        <w:rPr>
          <w:rStyle w:val="Odwoanieprzypisudolnego"/>
          <w:rFonts w:ascii="Arial" w:hAnsi="Arial" w:cs="Arial"/>
          <w:b/>
          <w:bCs/>
          <w:sz w:val="22"/>
          <w:szCs w:val="22"/>
        </w:rPr>
        <w:footnoteReference w:id="1"/>
      </w:r>
      <w:r w:rsidRPr="00F1451C">
        <w:rPr>
          <w:rFonts w:ascii="Arial" w:hAnsi="Arial" w:cs="Arial"/>
          <w:b/>
          <w:bCs/>
          <w:sz w:val="22"/>
          <w:szCs w:val="22"/>
        </w:rPr>
        <w:t>:</w:t>
      </w:r>
    </w:p>
    <w:p w14:paraId="282FD313" w14:textId="77777777" w:rsidR="00DD0AC1" w:rsidRPr="00F1451C" w:rsidRDefault="000F2DDD" w:rsidP="00F1451C">
      <w:pPr>
        <w:spacing w:line="304" w:lineRule="exact"/>
        <w:ind w:left="284"/>
        <w:jc w:val="both"/>
        <w:rPr>
          <w:rFonts w:ascii="Arial" w:hAnsi="Arial" w:cs="Arial"/>
          <w:b/>
          <w:bCs/>
          <w:sz w:val="22"/>
          <w:szCs w:val="22"/>
        </w:rPr>
      </w:pPr>
      <w:hyperlink r:id="rId9" w:history="1">
        <w:r w:rsidR="00DD0AC1" w:rsidRPr="00F1451C">
          <w:rPr>
            <w:rStyle w:val="Hipercze"/>
            <w:rFonts w:ascii="Arial" w:hAnsi="Arial" w:cs="Arial"/>
            <w:b/>
            <w:bCs/>
            <w:color w:val="auto"/>
            <w:sz w:val="22"/>
            <w:szCs w:val="22"/>
          </w:rPr>
          <w:t>https://grupaenea-pzp.logintrade.net/rejestracja/ustawowe.html</w:t>
        </w:r>
      </w:hyperlink>
    </w:p>
    <w:p w14:paraId="4DC14D61" w14:textId="77777777" w:rsidR="00DD0AC1" w:rsidRPr="00F1451C" w:rsidRDefault="00DD0AC1" w:rsidP="00F1451C">
      <w:pPr>
        <w:spacing w:line="304" w:lineRule="exact"/>
        <w:ind w:left="284"/>
        <w:jc w:val="both"/>
        <w:rPr>
          <w:rFonts w:ascii="Arial" w:hAnsi="Arial" w:cs="Arial"/>
          <w:b/>
          <w:bCs/>
          <w:sz w:val="22"/>
          <w:szCs w:val="22"/>
        </w:rPr>
      </w:pPr>
      <w:r w:rsidRPr="00F1451C">
        <w:rPr>
          <w:rFonts w:ascii="Arial" w:hAnsi="Arial" w:cs="Arial"/>
          <w:b/>
          <w:bCs/>
          <w:sz w:val="22"/>
          <w:szCs w:val="22"/>
        </w:rPr>
        <w:t>lub</w:t>
      </w:r>
    </w:p>
    <w:p w14:paraId="0BC2550A" w14:textId="77777777" w:rsidR="002A2F41" w:rsidRDefault="000F2DDD" w:rsidP="00F1451C">
      <w:pPr>
        <w:spacing w:line="304" w:lineRule="exact"/>
        <w:ind w:left="284"/>
        <w:rPr>
          <w:rFonts w:ascii="Arial" w:hAnsi="Arial" w:cs="Arial"/>
          <w:b/>
          <w:bCs/>
          <w:sz w:val="22"/>
          <w:szCs w:val="22"/>
        </w:rPr>
      </w:pPr>
      <w:hyperlink r:id="rId10" w:history="1">
        <w:r w:rsidR="00663686" w:rsidRPr="00F1451C">
          <w:rPr>
            <w:rStyle w:val="Hipercze"/>
            <w:rFonts w:ascii="Arial" w:hAnsi="Arial" w:cs="Arial"/>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77777777" w:rsidR="003C2EDC" w:rsidRPr="00F1451C" w:rsidRDefault="00E07CB7" w:rsidP="00A45D18">
      <w:pPr>
        <w:pStyle w:val="pkt"/>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r w:rsidR="00A45D18" w:rsidRPr="00A45D18">
        <w:rPr>
          <w:rFonts w:ascii="Arial" w:hAnsi="Arial" w:cs="Arial"/>
          <w:sz w:val="22"/>
          <w:szCs w:val="22"/>
        </w:rPr>
        <w:t>magdalena.palkowska@enea.pl&gt;</w:t>
      </w:r>
      <w:r w:rsidR="003C2EDC" w:rsidRPr="00F1451C">
        <w:rPr>
          <w:rFonts w:ascii="Arial" w:hAnsi="Arial" w:cs="Arial"/>
          <w:sz w:val="22"/>
          <w:szCs w:val="22"/>
        </w:rPr>
        <w:t xml:space="preserve"> z minimum 3 dniowym wyprzedzeniem celem ustalenia </w:t>
      </w:r>
      <w:r w:rsidR="003C2EDC" w:rsidRPr="00F1451C">
        <w:rPr>
          <w:rFonts w:ascii="Arial" w:hAnsi="Arial" w:cs="Arial"/>
          <w:sz w:val="22"/>
          <w:szCs w:val="22"/>
        </w:rPr>
        <w:lastRenderedPageBreak/>
        <w:t>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77777777"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https://www.enea.pl/pl/grupaenea/o-grupie/spolki-grupy-enea/polaniec/zamowienia/dokumenty-dla-wykonawcow-i-dostawcow</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77777777" w:rsidR="00F5314F" w:rsidRPr="00F1451C" w:rsidRDefault="00475975" w:rsidP="00F1270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F1270D" w:rsidRPr="00F1270D">
        <w:rPr>
          <w:rFonts w:ascii="Arial" w:hAnsi="Arial" w:cs="Arial"/>
          <w:sz w:val="22"/>
          <w:szCs w:val="22"/>
        </w:rPr>
        <w:t>Wykonanie usług w zakresie kontroli parametrów biomasy dostarczanej na teren Enea Elektrownia Połaniec S.A.</w:t>
      </w:r>
      <w:r w:rsidR="0043686C" w:rsidRPr="0043686C">
        <w:rPr>
          <w:rFonts w:ascii="Arial" w:hAnsi="Arial" w:cs="Arial"/>
          <w:sz w:val="22"/>
          <w:szCs w:val="22"/>
        </w:rPr>
        <w:t xml:space="preserve"> </w:t>
      </w:r>
      <w:r w:rsidR="00E07CB7">
        <w:rPr>
          <w:rFonts w:ascii="Arial" w:hAnsi="Arial" w:cs="Arial"/>
          <w:sz w:val="22"/>
          <w:szCs w:val="22"/>
        </w:rPr>
        <w:t>w okresie 24</w:t>
      </w:r>
      <w:r w:rsidR="000306A0" w:rsidRPr="000306A0">
        <w:rPr>
          <w:rFonts w:ascii="Arial" w:hAnsi="Arial" w:cs="Arial"/>
          <w:sz w:val="22"/>
          <w:szCs w:val="22"/>
        </w:rPr>
        <w:t xml:space="preserve"> miesięcy, j</w:t>
      </w:r>
      <w:r w:rsidR="00E07CB7">
        <w:rPr>
          <w:rFonts w:ascii="Arial" w:hAnsi="Arial" w:cs="Arial"/>
          <w:sz w:val="22"/>
          <w:szCs w:val="22"/>
        </w:rPr>
        <w:t>ednak nie wcześniej niż od 01.11</w:t>
      </w:r>
      <w:r w:rsidR="000306A0" w:rsidRPr="000306A0">
        <w:rPr>
          <w:rFonts w:ascii="Arial" w:hAnsi="Arial" w:cs="Arial"/>
          <w:sz w:val="22"/>
          <w:szCs w:val="22"/>
        </w:rPr>
        <w:t>.2021 r.</w:t>
      </w:r>
    </w:p>
    <w:p w14:paraId="05C20CD8"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Wspólny Słownik Zamówień CPV</w:t>
      </w:r>
      <w:r w:rsidR="006C56BD" w:rsidRPr="00F1451C">
        <w:rPr>
          <w:rStyle w:val="Odwoanieprzypisudolnego"/>
          <w:rFonts w:ascii="Arial" w:hAnsi="Arial" w:cs="Arial"/>
          <w:sz w:val="22"/>
          <w:szCs w:val="22"/>
        </w:rPr>
        <w:footnoteReference w:id="3"/>
      </w:r>
      <w:r w:rsidR="000A7DBC" w:rsidRPr="00F1451C">
        <w:rPr>
          <w:rFonts w:ascii="Arial" w:hAnsi="Arial" w:cs="Arial"/>
          <w:sz w:val="22"/>
          <w:szCs w:val="22"/>
        </w:rPr>
        <w:t xml:space="preserve">: </w:t>
      </w:r>
    </w:p>
    <w:tbl>
      <w:tblPr>
        <w:tblStyle w:val="Tabela-Siatka"/>
        <w:tblW w:w="0" w:type="auto"/>
        <w:tblInd w:w="534" w:type="dxa"/>
        <w:tblLook w:val="04A0" w:firstRow="1" w:lastRow="0" w:firstColumn="1" w:lastColumn="0" w:noHBand="0" w:noVBand="1"/>
      </w:tblPr>
      <w:tblGrid>
        <w:gridCol w:w="1820"/>
        <w:gridCol w:w="6708"/>
      </w:tblGrid>
      <w:tr w:rsidR="0043686C" w:rsidRPr="0043686C" w14:paraId="29F14FAC" w14:textId="77777777" w:rsidTr="0043686C">
        <w:trPr>
          <w:trHeight w:val="259"/>
        </w:trPr>
        <w:tc>
          <w:tcPr>
            <w:tcW w:w="1842" w:type="dxa"/>
          </w:tcPr>
          <w:p w14:paraId="007377B0" w14:textId="77777777" w:rsidR="0043686C" w:rsidRPr="0043686C" w:rsidRDefault="000306A0" w:rsidP="0043686C">
            <w:pPr>
              <w:pStyle w:val="pkt"/>
              <w:spacing w:after="0" w:line="304" w:lineRule="exact"/>
              <w:ind w:left="426" w:hanging="426"/>
              <w:rPr>
                <w:rFonts w:ascii="Arial" w:hAnsi="Arial" w:cs="Arial"/>
                <w:b/>
                <w:sz w:val="22"/>
                <w:szCs w:val="22"/>
              </w:rPr>
            </w:pPr>
            <w:r w:rsidRPr="000306A0">
              <w:rPr>
                <w:rFonts w:ascii="Arial" w:hAnsi="Arial" w:cs="Arial"/>
                <w:b/>
                <w:sz w:val="22"/>
                <w:szCs w:val="22"/>
              </w:rPr>
              <w:t>73111000-3</w:t>
            </w:r>
          </w:p>
        </w:tc>
        <w:tc>
          <w:tcPr>
            <w:tcW w:w="6912" w:type="dxa"/>
          </w:tcPr>
          <w:p w14:paraId="68C35DC5" w14:textId="77777777" w:rsidR="0043686C" w:rsidRPr="0043686C" w:rsidRDefault="000306A0" w:rsidP="0043686C">
            <w:pPr>
              <w:pStyle w:val="pkt"/>
              <w:spacing w:after="0" w:line="304" w:lineRule="exact"/>
              <w:ind w:left="426" w:hanging="426"/>
              <w:rPr>
                <w:rFonts w:ascii="Arial" w:hAnsi="Arial" w:cs="Arial"/>
                <w:b/>
                <w:sz w:val="22"/>
                <w:szCs w:val="22"/>
              </w:rPr>
            </w:pPr>
            <w:r w:rsidRPr="000306A0">
              <w:rPr>
                <w:rFonts w:ascii="Arial" w:hAnsi="Arial" w:cs="Arial"/>
                <w:b/>
                <w:sz w:val="22"/>
                <w:szCs w:val="22"/>
              </w:rPr>
              <w:t>Laboratoryjne usługi badawcze</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5B04125" w14:textId="77777777" w:rsidR="00DB164D" w:rsidRDefault="00475975" w:rsidP="00EF1B00">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EF1B00" w:rsidRPr="00EF1B00">
        <w:rPr>
          <w:rFonts w:ascii="Arial" w:hAnsi="Arial" w:cs="Arial"/>
          <w:b/>
          <w:sz w:val="22"/>
          <w:szCs w:val="22"/>
        </w:rPr>
        <w:t>Realizując przedmiot zamówienia:</w:t>
      </w:r>
      <w:r w:rsidR="00643296" w:rsidRPr="00F1451C">
        <w:rPr>
          <w:rFonts w:ascii="Arial" w:hAnsi="Arial" w:cs="Arial"/>
          <w:sz w:val="22"/>
          <w:szCs w:val="22"/>
        </w:rPr>
        <w:t xml:space="preserve"> </w:t>
      </w:r>
    </w:p>
    <w:p w14:paraId="15C00F05" w14:textId="77777777" w:rsidR="0028460B" w:rsidRPr="0028460B" w:rsidRDefault="0028460B" w:rsidP="004D158F">
      <w:pPr>
        <w:pStyle w:val="Akapitzlist"/>
        <w:numPr>
          <w:ilvl w:val="0"/>
          <w:numId w:val="29"/>
        </w:numPr>
        <w:spacing w:line="360" w:lineRule="auto"/>
        <w:contextualSpacing/>
        <w:jc w:val="both"/>
        <w:rPr>
          <w:rFonts w:ascii="Arial" w:hAnsi="Arial" w:cs="Arial"/>
          <w:vanish/>
          <w:sz w:val="22"/>
          <w:szCs w:val="22"/>
        </w:rPr>
      </w:pPr>
    </w:p>
    <w:p w14:paraId="040CFFD9" w14:textId="77777777" w:rsidR="0028460B" w:rsidRPr="0028460B" w:rsidRDefault="0028460B" w:rsidP="004D158F">
      <w:pPr>
        <w:pStyle w:val="Akapitzlist"/>
        <w:numPr>
          <w:ilvl w:val="0"/>
          <w:numId w:val="29"/>
        </w:numPr>
        <w:spacing w:line="360" w:lineRule="auto"/>
        <w:contextualSpacing/>
        <w:jc w:val="both"/>
        <w:rPr>
          <w:rFonts w:ascii="Arial" w:hAnsi="Arial" w:cs="Arial"/>
          <w:vanish/>
          <w:sz w:val="22"/>
          <w:szCs w:val="22"/>
        </w:rPr>
      </w:pPr>
    </w:p>
    <w:p w14:paraId="01BFD0D2" w14:textId="77777777" w:rsidR="0028460B" w:rsidRPr="0028460B" w:rsidRDefault="0028460B" w:rsidP="004D158F">
      <w:pPr>
        <w:pStyle w:val="Akapitzlist"/>
        <w:numPr>
          <w:ilvl w:val="0"/>
          <w:numId w:val="29"/>
        </w:numPr>
        <w:spacing w:line="360" w:lineRule="auto"/>
        <w:contextualSpacing/>
        <w:jc w:val="both"/>
        <w:rPr>
          <w:rFonts w:ascii="Arial" w:hAnsi="Arial" w:cs="Arial"/>
          <w:vanish/>
          <w:sz w:val="22"/>
          <w:szCs w:val="22"/>
        </w:rPr>
      </w:pPr>
    </w:p>
    <w:p w14:paraId="36BAC97A" w14:textId="77777777" w:rsidR="00F1270D" w:rsidRPr="00874805" w:rsidRDefault="00F1270D" w:rsidP="004D158F">
      <w:pPr>
        <w:pStyle w:val="Akapitzlist"/>
        <w:numPr>
          <w:ilvl w:val="1"/>
          <w:numId w:val="29"/>
        </w:numPr>
        <w:spacing w:after="240" w:line="360" w:lineRule="auto"/>
        <w:contextualSpacing/>
        <w:jc w:val="both"/>
        <w:rPr>
          <w:rFonts w:ascii="Franklin Gothic Book" w:hAnsi="Franklin Gothic Book" w:cs="Arial"/>
          <w:sz w:val="22"/>
          <w:szCs w:val="22"/>
        </w:rPr>
      </w:pPr>
      <w:r w:rsidRPr="00874805">
        <w:rPr>
          <w:rFonts w:ascii="Franklin Gothic Book" w:hAnsi="Franklin Gothic Book" w:cs="Arial"/>
          <w:sz w:val="22"/>
          <w:szCs w:val="22"/>
        </w:rPr>
        <w:t>Wykonawca zobowiązany jest oznaczać cechy / parametry biomasy (wskazane w Tabeli 3 Załącznika nr 1 do SWZ cz. II) korzystając z metod badawczych akredytowanych, za wyjątkiem wykonania analizy sitowej dla biomasy leśnej</w:t>
      </w:r>
      <w:r>
        <w:rPr>
          <w:rFonts w:ascii="Franklin Gothic Book" w:hAnsi="Franklin Gothic Book" w:cs="Arial"/>
          <w:sz w:val="22"/>
          <w:szCs w:val="22"/>
        </w:rPr>
        <w:t>.</w:t>
      </w:r>
      <w:r w:rsidRPr="00874805">
        <w:t xml:space="preserve"> </w:t>
      </w:r>
    </w:p>
    <w:p w14:paraId="36D02836" w14:textId="77777777" w:rsidR="00F1270D" w:rsidRDefault="002D1A53" w:rsidP="002D1A53">
      <w:pPr>
        <w:pStyle w:val="Akapitzlist"/>
        <w:numPr>
          <w:ilvl w:val="1"/>
          <w:numId w:val="29"/>
        </w:numPr>
        <w:spacing w:after="240" w:line="360" w:lineRule="auto"/>
        <w:contextualSpacing/>
        <w:jc w:val="both"/>
        <w:rPr>
          <w:rFonts w:ascii="Franklin Gothic Book" w:hAnsi="Franklin Gothic Book" w:cs="Arial"/>
          <w:sz w:val="22"/>
          <w:szCs w:val="22"/>
        </w:rPr>
      </w:pPr>
      <w:r w:rsidRPr="002D1A53">
        <w:rPr>
          <w:rFonts w:ascii="Franklin Gothic Book" w:hAnsi="Franklin Gothic Book" w:cs="Arial"/>
          <w:sz w:val="22"/>
          <w:szCs w:val="22"/>
        </w:rPr>
        <w:t>Wykonawca powinien dysponować laboratorium posiadającym wdrożony system zarządzania zgodnie z normą PN-EN ISO/IEC 17025 „Ogólne wymagania dotyczące kompetencji laboratoriów badawczych i wzorcujących</w:t>
      </w:r>
      <w:r w:rsidR="00F1270D" w:rsidRPr="00874805">
        <w:rPr>
          <w:rFonts w:ascii="Franklin Gothic Book" w:hAnsi="Franklin Gothic Book" w:cs="Arial"/>
          <w:sz w:val="22"/>
          <w:szCs w:val="22"/>
        </w:rPr>
        <w:t>.</w:t>
      </w:r>
    </w:p>
    <w:p w14:paraId="6AA376C2" w14:textId="77777777" w:rsidR="00220388" w:rsidRPr="00874805" w:rsidRDefault="00220388" w:rsidP="004D158F">
      <w:pPr>
        <w:pStyle w:val="Akapitzlist"/>
        <w:numPr>
          <w:ilvl w:val="1"/>
          <w:numId w:val="29"/>
        </w:numPr>
        <w:spacing w:after="240" w:line="360" w:lineRule="auto"/>
        <w:contextualSpacing/>
        <w:jc w:val="both"/>
        <w:rPr>
          <w:rFonts w:ascii="Franklin Gothic Book" w:hAnsi="Franklin Gothic Book" w:cs="Arial"/>
          <w:sz w:val="22"/>
          <w:szCs w:val="22"/>
        </w:rPr>
      </w:pPr>
      <w:r w:rsidRPr="00874805">
        <w:rPr>
          <w:rFonts w:ascii="Franklin Gothic Book" w:hAnsi="Franklin Gothic Book" w:cs="Arial"/>
          <w:sz w:val="22"/>
          <w:szCs w:val="22"/>
        </w:rPr>
        <w:t xml:space="preserve">Wykonawca powinien </w:t>
      </w:r>
      <w:r>
        <w:rPr>
          <w:rFonts w:ascii="Franklin Gothic Book" w:hAnsi="Franklin Gothic Book" w:cs="Arial"/>
          <w:sz w:val="22"/>
          <w:szCs w:val="22"/>
        </w:rPr>
        <w:t xml:space="preserve">dysponować laboratorium </w:t>
      </w:r>
      <w:r w:rsidRPr="00874805">
        <w:rPr>
          <w:rFonts w:ascii="Franklin Gothic Book" w:hAnsi="Franklin Gothic Book" w:cs="Arial"/>
          <w:sz w:val="22"/>
          <w:szCs w:val="22"/>
        </w:rPr>
        <w:t>posiada</w:t>
      </w:r>
      <w:r>
        <w:rPr>
          <w:rFonts w:ascii="Franklin Gothic Book" w:hAnsi="Franklin Gothic Book" w:cs="Arial"/>
          <w:sz w:val="22"/>
          <w:szCs w:val="22"/>
        </w:rPr>
        <w:t>jącym</w:t>
      </w:r>
      <w:r w:rsidRPr="00874805">
        <w:rPr>
          <w:rFonts w:ascii="Franklin Gothic Book" w:hAnsi="Franklin Gothic Book" w:cs="Arial"/>
          <w:sz w:val="22"/>
          <w:szCs w:val="22"/>
        </w:rPr>
        <w:t xml:space="preserve"> akredytację Polskiego Centrum Akredytacji lub innej jednostki akredytującej na wy</w:t>
      </w:r>
      <w:r>
        <w:rPr>
          <w:rFonts w:ascii="Franklin Gothic Book" w:hAnsi="Franklin Gothic Book" w:cs="Arial"/>
          <w:sz w:val="22"/>
          <w:szCs w:val="22"/>
        </w:rPr>
        <w:t xml:space="preserve">konywanie badań biomasy stałej </w:t>
      </w:r>
      <w:r w:rsidRPr="00874805">
        <w:rPr>
          <w:rFonts w:ascii="Franklin Gothic Book" w:hAnsi="Franklin Gothic Book" w:cs="Arial"/>
          <w:sz w:val="22"/>
          <w:szCs w:val="22"/>
        </w:rPr>
        <w:t xml:space="preserve">z dostaw metodami akredytowanymi lub zapewnienie o wykonywaniu takich badań przez </w:t>
      </w:r>
      <w:r>
        <w:rPr>
          <w:rFonts w:ascii="Franklin Gothic Book" w:hAnsi="Franklin Gothic Book" w:cs="Arial"/>
          <w:sz w:val="22"/>
          <w:szCs w:val="22"/>
        </w:rPr>
        <w:t xml:space="preserve">laboratorium </w:t>
      </w:r>
      <w:r w:rsidRPr="00874805">
        <w:rPr>
          <w:rFonts w:ascii="Franklin Gothic Book" w:hAnsi="Franklin Gothic Book" w:cs="Arial"/>
          <w:sz w:val="22"/>
          <w:szCs w:val="22"/>
        </w:rPr>
        <w:t>podwykonawc</w:t>
      </w:r>
      <w:r>
        <w:rPr>
          <w:rFonts w:ascii="Franklin Gothic Book" w:hAnsi="Franklin Gothic Book" w:cs="Arial"/>
          <w:sz w:val="22"/>
          <w:szCs w:val="22"/>
        </w:rPr>
        <w:t>y</w:t>
      </w:r>
      <w:r w:rsidRPr="00874805">
        <w:rPr>
          <w:rFonts w:ascii="Franklin Gothic Book" w:hAnsi="Franklin Gothic Book" w:cs="Arial"/>
          <w:sz w:val="22"/>
          <w:szCs w:val="22"/>
        </w:rPr>
        <w:t xml:space="preserve"> w zakresie parametrów: zawartość wilgoci całkowitej, zawartość popiołu, zawartość siarki całkowitej, ciepło spalania i obliczenie wartości opałowej (wskazane w Tabeli 3 Załącznika nr 1 do SWZ cz. II).</w:t>
      </w:r>
    </w:p>
    <w:p w14:paraId="1C0FD3D6" w14:textId="77777777" w:rsidR="00220388" w:rsidRDefault="00220388" w:rsidP="004D158F">
      <w:pPr>
        <w:pStyle w:val="Akapitzlist"/>
        <w:numPr>
          <w:ilvl w:val="1"/>
          <w:numId w:val="29"/>
        </w:numPr>
        <w:spacing w:after="240" w:line="360" w:lineRule="auto"/>
        <w:contextualSpacing/>
        <w:jc w:val="both"/>
        <w:rPr>
          <w:rFonts w:ascii="Franklin Gothic Book" w:hAnsi="Franklin Gothic Book" w:cs="Arial"/>
          <w:sz w:val="22"/>
          <w:szCs w:val="22"/>
        </w:rPr>
      </w:pPr>
      <w:r w:rsidRPr="00874805">
        <w:rPr>
          <w:rFonts w:ascii="Franklin Gothic Book" w:hAnsi="Franklin Gothic Book" w:cs="Arial"/>
          <w:sz w:val="22"/>
          <w:szCs w:val="22"/>
        </w:rPr>
        <w:lastRenderedPageBreak/>
        <w:t>Wykonawca powinien</w:t>
      </w:r>
      <w:r>
        <w:rPr>
          <w:rFonts w:ascii="Franklin Gothic Book" w:hAnsi="Franklin Gothic Book" w:cs="Arial"/>
          <w:sz w:val="22"/>
          <w:szCs w:val="22"/>
        </w:rPr>
        <w:t xml:space="preserve"> </w:t>
      </w:r>
      <w:r w:rsidRPr="004966AC">
        <w:rPr>
          <w:rFonts w:ascii="Franklin Gothic Book" w:hAnsi="Franklin Gothic Book" w:cs="Arial"/>
          <w:sz w:val="22"/>
          <w:szCs w:val="22"/>
        </w:rPr>
        <w:t>dysponować laboratorium posiadającym</w:t>
      </w:r>
      <w:r w:rsidRPr="00874805">
        <w:rPr>
          <w:rFonts w:ascii="Franklin Gothic Book" w:hAnsi="Franklin Gothic Book" w:cs="Arial"/>
          <w:sz w:val="22"/>
          <w:szCs w:val="22"/>
        </w:rPr>
        <w:t xml:space="preserve"> akredytację Polskiego Centrum Akredytacji lub innej jednostki akredytującej na wykonywanie zawartości frakcji biodegradowalnej </w:t>
      </w:r>
      <w:r>
        <w:rPr>
          <w:rFonts w:ascii="Franklin Gothic Book" w:hAnsi="Franklin Gothic Book" w:cs="Arial"/>
          <w:sz w:val="22"/>
          <w:szCs w:val="22"/>
        </w:rPr>
        <w:t>i zawartości</w:t>
      </w:r>
      <w:r w:rsidRPr="00352F97">
        <w:rPr>
          <w:rFonts w:ascii="Franklin Gothic Book" w:hAnsi="Franklin Gothic Book" w:cs="Arial"/>
          <w:sz w:val="22"/>
          <w:szCs w:val="22"/>
        </w:rPr>
        <w:t xml:space="preserve"> frakcji </w:t>
      </w:r>
      <w:proofErr w:type="spellStart"/>
      <w:r w:rsidRPr="00352F97">
        <w:rPr>
          <w:rFonts w:ascii="Franklin Gothic Book" w:hAnsi="Franklin Gothic Book" w:cs="Arial"/>
          <w:sz w:val="22"/>
          <w:szCs w:val="22"/>
        </w:rPr>
        <w:t>niebiodegradowalnej</w:t>
      </w:r>
      <w:proofErr w:type="spellEnd"/>
      <w:r w:rsidRPr="00352F97">
        <w:rPr>
          <w:rFonts w:ascii="Franklin Gothic Book" w:hAnsi="Franklin Gothic Book" w:cs="Arial"/>
          <w:sz w:val="22"/>
          <w:szCs w:val="22"/>
        </w:rPr>
        <w:t xml:space="preserve"> </w:t>
      </w:r>
      <w:r w:rsidRPr="00874805">
        <w:rPr>
          <w:rFonts w:ascii="Franklin Gothic Book" w:hAnsi="Franklin Gothic Book" w:cs="Arial"/>
          <w:sz w:val="22"/>
          <w:szCs w:val="22"/>
        </w:rPr>
        <w:t xml:space="preserve">w biomasie stałej lub zapewnienie o wykonywaniu tego badania metodą akredytowaną przez </w:t>
      </w:r>
      <w:r>
        <w:rPr>
          <w:rFonts w:ascii="Franklin Gothic Book" w:hAnsi="Franklin Gothic Book" w:cs="Arial"/>
          <w:sz w:val="22"/>
          <w:szCs w:val="22"/>
        </w:rPr>
        <w:t xml:space="preserve">laboratorium </w:t>
      </w:r>
      <w:r w:rsidRPr="00874805">
        <w:rPr>
          <w:rFonts w:ascii="Franklin Gothic Book" w:hAnsi="Franklin Gothic Book" w:cs="Arial"/>
          <w:sz w:val="22"/>
          <w:szCs w:val="22"/>
        </w:rPr>
        <w:t>podwykonawc</w:t>
      </w:r>
      <w:r>
        <w:rPr>
          <w:rFonts w:ascii="Franklin Gothic Book" w:hAnsi="Franklin Gothic Book" w:cs="Arial"/>
          <w:sz w:val="22"/>
          <w:szCs w:val="22"/>
        </w:rPr>
        <w:t>y</w:t>
      </w:r>
      <w:r w:rsidRPr="00874805">
        <w:rPr>
          <w:rFonts w:ascii="Franklin Gothic Book" w:hAnsi="Franklin Gothic Book" w:cs="Arial"/>
          <w:sz w:val="22"/>
          <w:szCs w:val="22"/>
        </w:rPr>
        <w:t>.</w:t>
      </w:r>
    </w:p>
    <w:p w14:paraId="263E66AD" w14:textId="77777777" w:rsidR="00220388" w:rsidRDefault="00220388" w:rsidP="004D158F">
      <w:pPr>
        <w:pStyle w:val="Akapitzlist"/>
        <w:numPr>
          <w:ilvl w:val="1"/>
          <w:numId w:val="29"/>
        </w:numPr>
        <w:tabs>
          <w:tab w:val="left" w:pos="709"/>
        </w:tabs>
        <w:spacing w:line="360" w:lineRule="auto"/>
        <w:contextualSpacing/>
        <w:jc w:val="both"/>
        <w:rPr>
          <w:rFonts w:ascii="Franklin Gothic Book" w:hAnsi="Franklin Gothic Book" w:cs="Arial"/>
          <w:sz w:val="22"/>
          <w:szCs w:val="22"/>
        </w:rPr>
      </w:pPr>
      <w:r w:rsidRPr="006709DB">
        <w:rPr>
          <w:rFonts w:ascii="Franklin Gothic Book" w:hAnsi="Franklin Gothic Book" w:cs="Arial"/>
          <w:sz w:val="22"/>
          <w:szCs w:val="22"/>
        </w:rPr>
        <w:t xml:space="preserve">Wykonawca powinien </w:t>
      </w:r>
      <w:r w:rsidRPr="004966AC">
        <w:rPr>
          <w:rFonts w:ascii="Franklin Gothic Book" w:hAnsi="Franklin Gothic Book" w:cs="Arial"/>
          <w:sz w:val="22"/>
          <w:szCs w:val="22"/>
        </w:rPr>
        <w:t xml:space="preserve">dysponować laboratorium posiadającym </w:t>
      </w:r>
      <w:r w:rsidRPr="006709DB">
        <w:rPr>
          <w:rFonts w:ascii="Franklin Gothic Book" w:hAnsi="Franklin Gothic Book" w:cs="Arial"/>
          <w:sz w:val="22"/>
          <w:szCs w:val="22"/>
        </w:rPr>
        <w:t>akredytację Polskiego Centrum Akredytacji lub innej jednostki akredytującej na pobieranie próbek biomasy stałej z dostaw w zakresie pobierania próbek materiału nieruchomego</w:t>
      </w:r>
      <w:r>
        <w:rPr>
          <w:rFonts w:ascii="Franklin Gothic Book" w:hAnsi="Franklin Gothic Book" w:cs="Arial"/>
          <w:sz w:val="22"/>
          <w:szCs w:val="22"/>
        </w:rPr>
        <w:t xml:space="preserve"> zgodnie z normą </w:t>
      </w:r>
      <w:r w:rsidRPr="00144E55">
        <w:rPr>
          <w:rFonts w:ascii="Franklin Gothic Book" w:hAnsi="Franklin Gothic Book" w:cs="Arial"/>
          <w:sz w:val="22"/>
          <w:szCs w:val="22"/>
        </w:rPr>
        <w:t>PN-EN ISO 18135</w:t>
      </w:r>
      <w:r w:rsidRPr="00290A9E">
        <w:t xml:space="preserve"> </w:t>
      </w:r>
      <w:r w:rsidRPr="00290A9E">
        <w:rPr>
          <w:rFonts w:ascii="Franklin Gothic Book" w:hAnsi="Franklin Gothic Book" w:cs="Arial"/>
          <w:sz w:val="22"/>
          <w:szCs w:val="22"/>
        </w:rPr>
        <w:t xml:space="preserve">lub zapewnienie o wykonywaniu tego badania metodą akredytowaną </w:t>
      </w:r>
      <w:r>
        <w:rPr>
          <w:rFonts w:ascii="Franklin Gothic Book" w:hAnsi="Franklin Gothic Book" w:cs="Arial"/>
          <w:sz w:val="22"/>
          <w:szCs w:val="22"/>
        </w:rPr>
        <w:t>przez laboratorium podwykonawcy.</w:t>
      </w:r>
    </w:p>
    <w:p w14:paraId="42F5BB96" w14:textId="77777777" w:rsidR="00220388" w:rsidRPr="003A376D" w:rsidRDefault="00220388" w:rsidP="004D158F">
      <w:pPr>
        <w:pStyle w:val="Akapitzlist"/>
        <w:numPr>
          <w:ilvl w:val="1"/>
          <w:numId w:val="29"/>
        </w:numPr>
        <w:tabs>
          <w:tab w:val="left" w:pos="709"/>
        </w:tabs>
        <w:spacing w:line="360" w:lineRule="auto"/>
        <w:contextualSpacing/>
        <w:jc w:val="both"/>
        <w:rPr>
          <w:rFonts w:ascii="Franklin Gothic Book" w:hAnsi="Franklin Gothic Book" w:cs="Arial"/>
          <w:sz w:val="22"/>
          <w:szCs w:val="22"/>
        </w:rPr>
      </w:pPr>
      <w:r>
        <w:rPr>
          <w:rFonts w:ascii="Franklin Gothic Book" w:hAnsi="Franklin Gothic Book" w:cs="Arial"/>
          <w:sz w:val="22"/>
          <w:szCs w:val="22"/>
        </w:rPr>
        <w:t xml:space="preserve">Wykonawca przed podpisaniem Umowy zobowiązany jest dostarczyć Zamawiającemu </w:t>
      </w:r>
      <w:r w:rsidRPr="004E39CE">
        <w:rPr>
          <w:rFonts w:ascii="Franklin Gothic Book" w:hAnsi="Franklin Gothic Book" w:cs="Arial"/>
          <w:sz w:val="22"/>
          <w:szCs w:val="22"/>
        </w:rPr>
        <w:t xml:space="preserve">Certyfikat akredytacji wraz z zakresem akredytacji potwierdzającym spełnienie zapisów </w:t>
      </w:r>
      <w:r>
        <w:rPr>
          <w:rFonts w:ascii="Franklin Gothic Book" w:hAnsi="Franklin Gothic Book" w:cs="Arial"/>
          <w:sz w:val="22"/>
          <w:szCs w:val="22"/>
        </w:rPr>
        <w:t>w Rozdziale IV pkt 8.3. do 8.5</w:t>
      </w:r>
      <w:r w:rsidRPr="004E39CE">
        <w:rPr>
          <w:rFonts w:ascii="Franklin Gothic Book" w:hAnsi="Franklin Gothic Book" w:cs="Arial"/>
          <w:sz w:val="22"/>
          <w:szCs w:val="22"/>
        </w:rPr>
        <w:t>. Część I SWZ</w:t>
      </w:r>
      <w:r>
        <w:rPr>
          <w:rFonts w:ascii="Franklin Gothic Book" w:hAnsi="Franklin Gothic Book" w:cs="Arial"/>
          <w:sz w:val="22"/>
          <w:szCs w:val="22"/>
        </w:rPr>
        <w:t>. W przypadku, gdy usługa będzie realizowana przez laboratorium zewnętrzne Wykonawca dodatkowo zobowiązany jest przedstawić Zamawiającemu Umowę zawartą z tym laboratorium zewnętrznym, w zakresie świadczonej usługi.</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64A7BD8E" w:rsidR="00A73229" w:rsidRPr="00F1451C" w:rsidRDefault="00475975" w:rsidP="00243FB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965D2" w:rsidRPr="00B965D2">
        <w:rPr>
          <w:rFonts w:ascii="Arial" w:hAnsi="Arial" w:cs="Arial"/>
          <w:sz w:val="22"/>
          <w:szCs w:val="22"/>
        </w:rPr>
        <w:t xml:space="preserve">Realizacja Przedmiotu Umowy, z zastrzeżeniem postanowień zawartych w pkt 3.2; pkt 3.3 Umowy, odbywać się będzie w okresie </w:t>
      </w:r>
      <w:r w:rsidR="002D1A53">
        <w:rPr>
          <w:rFonts w:ascii="Arial" w:hAnsi="Arial" w:cs="Arial"/>
          <w:sz w:val="22"/>
          <w:szCs w:val="22"/>
        </w:rPr>
        <w:t>24</w:t>
      </w:r>
      <w:r w:rsidR="00B965D2" w:rsidRPr="00B965D2">
        <w:rPr>
          <w:rFonts w:ascii="Arial" w:hAnsi="Arial" w:cs="Arial"/>
          <w:sz w:val="22"/>
          <w:szCs w:val="22"/>
        </w:rPr>
        <w:t xml:space="preserve"> miesięcy</w:t>
      </w:r>
      <w:r w:rsidR="00243FB7">
        <w:rPr>
          <w:rFonts w:ascii="Arial" w:hAnsi="Arial" w:cs="Arial"/>
          <w:sz w:val="22"/>
          <w:szCs w:val="22"/>
        </w:rPr>
        <w:t>,</w:t>
      </w:r>
      <w:r w:rsidR="00B965D2" w:rsidRPr="00B965D2">
        <w:rPr>
          <w:rFonts w:ascii="Arial" w:hAnsi="Arial" w:cs="Arial"/>
          <w:sz w:val="22"/>
          <w:szCs w:val="22"/>
        </w:rPr>
        <w:t xml:space="preserve"> </w:t>
      </w:r>
      <w:r w:rsidR="00243FB7">
        <w:rPr>
          <w:rFonts w:ascii="Arial" w:hAnsi="Arial" w:cs="Arial"/>
          <w:sz w:val="22"/>
          <w:szCs w:val="22"/>
        </w:rPr>
        <w:t xml:space="preserve">jednak nie wcześniej niż </w:t>
      </w:r>
      <w:r w:rsidR="00B965D2" w:rsidRPr="00B965D2">
        <w:rPr>
          <w:rFonts w:ascii="Arial" w:hAnsi="Arial" w:cs="Arial"/>
          <w:sz w:val="22"/>
          <w:szCs w:val="22"/>
        </w:rPr>
        <w:t>od dnia 01.</w:t>
      </w:r>
      <w:r w:rsidR="002D1A53">
        <w:rPr>
          <w:rFonts w:ascii="Arial" w:hAnsi="Arial" w:cs="Arial"/>
          <w:sz w:val="22"/>
          <w:szCs w:val="22"/>
        </w:rPr>
        <w:t>11</w:t>
      </w:r>
      <w:r w:rsidR="00B965D2" w:rsidRPr="00B965D2">
        <w:rPr>
          <w:rFonts w:ascii="Arial" w:hAnsi="Arial" w:cs="Arial"/>
          <w:sz w:val="22"/>
          <w:szCs w:val="22"/>
        </w:rPr>
        <w:t>.2021 r.</w:t>
      </w:r>
      <w:r w:rsidR="00C925AD" w:rsidRPr="00F1451C">
        <w:rPr>
          <w:rStyle w:val="Odwoanieprzypisudolnego"/>
          <w:rFonts w:ascii="Arial" w:hAnsi="Arial" w:cs="Arial"/>
          <w:sz w:val="22"/>
          <w:szCs w:val="22"/>
        </w:rPr>
        <w:footnoteReference w:id="9"/>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lastRenderedPageBreak/>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10"/>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1"/>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478AD2D1" w14:textId="77777777"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Nie dotyczy</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42E31CE7" w:rsidR="001B73CC" w:rsidRPr="00F1451C" w:rsidRDefault="001B73CC" w:rsidP="008548A7">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0F2DDD">
        <w:rPr>
          <w:rFonts w:ascii="Arial" w:hAnsi="Arial" w:cs="Arial"/>
          <w:sz w:val="22"/>
          <w:szCs w:val="22"/>
          <w:lang w:val="pl-PL"/>
        </w:rPr>
        <w:t>3</w:t>
      </w:r>
      <w:r w:rsidR="008548A7">
        <w:rPr>
          <w:rFonts w:ascii="Arial" w:hAnsi="Arial" w:cs="Arial"/>
          <w:sz w:val="22"/>
          <w:szCs w:val="22"/>
          <w:lang w:val="pl-PL"/>
        </w:rPr>
        <w:t xml:space="preserve">80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77777777" w:rsidR="000D714E" w:rsidRPr="001C717D" w:rsidRDefault="00475975" w:rsidP="001C717D">
      <w:pPr>
        <w:pStyle w:val="Akapitzlist"/>
        <w:spacing w:line="360" w:lineRule="auto"/>
        <w:ind w:left="426"/>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ostatnich </w:t>
      </w:r>
      <w:r w:rsidR="00B53C32">
        <w:rPr>
          <w:rFonts w:ascii="Arial" w:hAnsi="Arial" w:cs="Arial"/>
          <w:sz w:val="22"/>
          <w:szCs w:val="22"/>
        </w:rPr>
        <w:t>5</w:t>
      </w:r>
      <w:r w:rsidR="00A501DF" w:rsidRPr="00F1451C">
        <w:rPr>
          <w:rStyle w:val="Odwoanieprzypisudolnego"/>
          <w:rFonts w:ascii="Arial" w:hAnsi="Arial" w:cs="Arial"/>
          <w:sz w:val="22"/>
          <w:szCs w:val="22"/>
        </w:rPr>
        <w:footnoteReference w:id="12"/>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Pr="000D714E">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0D714E">
        <w:rPr>
          <w:rFonts w:ascii="Arial" w:hAnsi="Arial" w:cs="Arial"/>
          <w:sz w:val="22"/>
          <w:szCs w:val="22"/>
        </w:rPr>
        <w:t>:</w:t>
      </w:r>
      <w:r w:rsidR="00EB7FEB" w:rsidRPr="000D714E">
        <w:rPr>
          <w:rFonts w:ascii="Arial" w:hAnsi="Arial" w:cs="Arial"/>
          <w:sz w:val="22"/>
          <w:szCs w:val="22"/>
        </w:rPr>
        <w:t xml:space="preserve"> </w:t>
      </w:r>
    </w:p>
    <w:p w14:paraId="6D2843BF" w14:textId="77777777" w:rsidR="00DA3BD6" w:rsidRDefault="00B53C32" w:rsidP="00F1451C">
      <w:pPr>
        <w:pStyle w:val="Teksttreci0"/>
        <w:shd w:val="clear" w:color="auto" w:fill="auto"/>
        <w:spacing w:line="304" w:lineRule="exact"/>
        <w:ind w:left="1278" w:right="20" w:hanging="426"/>
        <w:jc w:val="both"/>
        <w:rPr>
          <w:rFonts w:ascii="Arial" w:hAnsi="Arial" w:cs="Arial"/>
          <w:sz w:val="22"/>
          <w:szCs w:val="22"/>
          <w:lang w:val="pl-PL"/>
        </w:rPr>
      </w:pPr>
      <w:r>
        <w:rPr>
          <w:rFonts w:ascii="Arial" w:hAnsi="Arial" w:cs="Arial"/>
          <w:sz w:val="22"/>
          <w:szCs w:val="22"/>
        </w:rPr>
        <w:t xml:space="preserve">- </w:t>
      </w:r>
      <w:r w:rsidR="00210474" w:rsidRPr="00210474">
        <w:rPr>
          <w:rFonts w:ascii="Arial" w:hAnsi="Arial" w:cs="Arial"/>
          <w:sz w:val="22"/>
          <w:szCs w:val="22"/>
        </w:rPr>
        <w:t>wykonał lub wykonuje co najmniej 2 usługi polegające na wykonywaniu prac w zakresie pobierania i wykonywania badań próbek biomasy pozaleśnej i leśnej o wartości co najmniej 300 000 PLN brutto każda z usług, w przypadku podmiotów występujących wspólnie warunek ten podmioty mogą spełniać łącznie</w:t>
      </w:r>
      <w:r w:rsidR="00210474">
        <w:rPr>
          <w:rFonts w:ascii="Arial" w:hAnsi="Arial" w:cs="Arial"/>
          <w:sz w:val="22"/>
          <w:szCs w:val="22"/>
        </w:rPr>
        <w:t xml:space="preserve"> </w:t>
      </w:r>
    </w:p>
    <w:p w14:paraId="3CBBF8B0" w14:textId="77777777" w:rsidR="00994C5C" w:rsidRPr="00F1451C" w:rsidRDefault="00475975" w:rsidP="00F1451C">
      <w:pPr>
        <w:pStyle w:val="Teksttreci0"/>
        <w:shd w:val="clear" w:color="auto" w:fill="auto"/>
        <w:spacing w:line="304" w:lineRule="exact"/>
        <w:ind w:left="1278" w:right="20" w:hanging="426"/>
        <w:jc w:val="both"/>
        <w:rPr>
          <w:rFonts w:ascii="Arial" w:hAnsi="Arial" w:cs="Arial"/>
          <w:b/>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12404CFC" w14:textId="77777777" w:rsidR="00C763E4"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47D6193E" w14:textId="77777777"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59433F82" w14:textId="7777777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t xml:space="preserve">d) </w:t>
      </w:r>
      <w:r w:rsidRPr="00F1451C">
        <w:rPr>
          <w:rFonts w:ascii="Arial" w:hAnsi="Arial" w:cs="Arial"/>
          <w:sz w:val="22"/>
          <w:szCs w:val="22"/>
          <w:lang w:val="pl-PL"/>
        </w:rPr>
        <w:t>inne zgodnie z art. 393 ust. 1 pkt. 2) p.z.p.</w:t>
      </w:r>
    </w:p>
    <w:p w14:paraId="03E84B8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w:t>
      </w:r>
      <w:r w:rsidRPr="00F1451C">
        <w:rPr>
          <w:rFonts w:ascii="Arial" w:hAnsi="Arial" w:cs="Arial"/>
          <w:sz w:val="22"/>
          <w:szCs w:val="22"/>
          <w:lang w:val="pl-PL"/>
        </w:rPr>
        <w:lastRenderedPageBreak/>
        <w:t xml:space="preserve">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3"/>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4"/>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77777777"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5"/>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6"/>
      </w:r>
      <w:r w:rsidRPr="00F1451C">
        <w:rPr>
          <w:rFonts w:ascii="Arial" w:hAnsi="Arial" w:cs="Arial"/>
          <w:sz w:val="22"/>
          <w:szCs w:val="22"/>
        </w:rPr>
        <w:t>;</w:t>
      </w:r>
    </w:p>
    <w:p w14:paraId="67DA3CF5"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Pr>
          <w:rFonts w:ascii="Arial" w:hAnsi="Arial" w:cs="Arial"/>
          <w:b/>
          <w:bCs/>
          <w:sz w:val="22"/>
          <w:szCs w:val="22"/>
        </w:rPr>
        <w:t>5</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7"/>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8"/>
      </w:r>
      <w:r w:rsidRPr="00F1451C">
        <w:rPr>
          <w:rFonts w:ascii="Arial" w:hAnsi="Arial" w:cs="Arial"/>
          <w:sz w:val="22"/>
          <w:szCs w:val="22"/>
        </w:rPr>
        <w:t>;</w:t>
      </w:r>
    </w:p>
    <w:p w14:paraId="3A6177AB"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Informacja banku lub spółdzielczej kasy oszczędnościowo-kredytowej 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Pr="00F1451C">
        <w:rPr>
          <w:rFonts w:ascii="Arial" w:hAnsi="Arial" w:cs="Arial"/>
          <w:sz w:val="22"/>
          <w:szCs w:val="22"/>
        </w:rPr>
        <w:t>;</w:t>
      </w:r>
    </w:p>
    <w:p w14:paraId="4838ADD7"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t xml:space="preserve">Oświadczenie wykonawcy </w:t>
      </w:r>
      <w:r w:rsidRPr="00F1451C">
        <w:rPr>
          <w:rFonts w:ascii="Arial" w:hAnsi="Arial" w:cs="Arial"/>
          <w:sz w:val="22"/>
          <w:szCs w:val="22"/>
        </w:rPr>
        <w:t xml:space="preserve">o aktualności informacji zawartych w oświadczeniu, o którym mowa w art. 125 ust. 1 p.z.p. w zakresie odnoszącym się do podstaw </w:t>
      </w:r>
      <w:r w:rsidRPr="00F1451C">
        <w:rPr>
          <w:rFonts w:ascii="Arial" w:hAnsi="Arial" w:cs="Arial"/>
          <w:sz w:val="22"/>
          <w:szCs w:val="22"/>
        </w:rPr>
        <w:lastRenderedPageBreak/>
        <w:t xml:space="preserve">wykluczenia wskazanych w art. 108 ust. 1 pkt 3-6 p.z.p.; wzór oświadczenia stanowi </w:t>
      </w:r>
      <w:r w:rsidRPr="00F1451C">
        <w:rPr>
          <w:rFonts w:ascii="Arial" w:hAnsi="Arial" w:cs="Arial"/>
          <w:b/>
          <w:sz w:val="22"/>
          <w:szCs w:val="22"/>
        </w:rPr>
        <w:t>Załącznik nr 16 do SWZ</w:t>
      </w:r>
      <w:r w:rsidRPr="00F1451C">
        <w:rPr>
          <w:rStyle w:val="Odwoanieprzypisudolnego"/>
          <w:rFonts w:ascii="Arial" w:hAnsi="Arial" w:cs="Arial"/>
          <w:b/>
          <w:sz w:val="22"/>
          <w:szCs w:val="22"/>
        </w:rPr>
        <w:footnoteReference w:id="19"/>
      </w:r>
      <w:r w:rsidRPr="00F1451C">
        <w:rPr>
          <w:rFonts w:ascii="Arial" w:hAnsi="Arial" w:cs="Arial"/>
          <w:b/>
          <w:sz w:val="22"/>
          <w:szCs w:val="22"/>
        </w:rPr>
        <w:t>.</w:t>
      </w:r>
      <w:r w:rsidRPr="00F1451C">
        <w:rPr>
          <w:rFonts w:ascii="Arial" w:hAnsi="Arial" w:cs="Arial"/>
          <w:sz w:val="22"/>
          <w:szCs w:val="22"/>
        </w:rPr>
        <w:t xml:space="preserve"> </w:t>
      </w:r>
    </w:p>
    <w:p w14:paraId="4171FF53"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 xml:space="preserve">5) 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Pr="00F1451C">
        <w:rPr>
          <w:rFonts w:ascii="Arial" w:hAnsi="Arial" w:cs="Arial"/>
          <w:b/>
          <w:sz w:val="22"/>
          <w:szCs w:val="22"/>
        </w:rPr>
        <w:t>Załącznik nr 16 do SWZ</w:t>
      </w:r>
    </w:p>
    <w:p w14:paraId="4D5CF469" w14:textId="77777777" w:rsidR="008548A7" w:rsidRPr="00F1451C" w:rsidRDefault="008548A7" w:rsidP="008548A7">
      <w:pPr>
        <w:spacing w:line="304" w:lineRule="exact"/>
        <w:ind w:left="852" w:hanging="425"/>
        <w:contextualSpacing/>
        <w:jc w:val="both"/>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Pr="00F1451C">
        <w:rPr>
          <w:rFonts w:ascii="Arial" w:hAnsi="Arial" w:cs="Arial"/>
          <w:sz w:val="22"/>
          <w:szCs w:val="22"/>
          <w:vertAlign w:val="superscript"/>
        </w:rPr>
        <w:footnoteReference w:id="20"/>
      </w:r>
      <w:r w:rsidRPr="00F1451C">
        <w:rPr>
          <w:rFonts w:ascii="Arial" w:hAnsi="Arial" w:cs="Arial"/>
          <w:sz w:val="22"/>
          <w:szCs w:val="22"/>
        </w:rPr>
        <w:t>.</w:t>
      </w:r>
    </w:p>
    <w:p w14:paraId="02193125" w14:textId="77777777"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 xml:space="preserve">w zakresie podstawy wykluczenia wskazanej w art. 108 ust. 2 p.z.p., jeżeli odrębne przepisy wymagają wpisu do tego rejestru, sporządzona nie wcześniej niż 3 miesiące przed jej złożeniem (informacja wymagana w przypadku </w:t>
      </w:r>
      <w:r w:rsidRPr="00F1451C">
        <w:rPr>
          <w:rFonts w:ascii="Arial" w:hAnsi="Arial" w:cs="Arial"/>
          <w:color w:val="1F497D"/>
          <w:sz w:val="22"/>
          <w:szCs w:val="22"/>
        </w:rPr>
        <w:t>usług o wartości co najmniej 10 mln euro)</w:t>
      </w:r>
      <w:r w:rsidRPr="00F1451C">
        <w:rPr>
          <w:rStyle w:val="Odwoanieprzypisudolnego"/>
          <w:rFonts w:ascii="Arial" w:hAnsi="Arial" w:cs="Arial"/>
          <w:sz w:val="22"/>
          <w:szCs w:val="22"/>
        </w:rPr>
        <w:t xml:space="preserve"> </w:t>
      </w:r>
      <w:r w:rsidRPr="00F1451C">
        <w:rPr>
          <w:rStyle w:val="Odwoanieprzypisudolnego"/>
          <w:rFonts w:ascii="Arial" w:hAnsi="Arial" w:cs="Arial"/>
          <w:sz w:val="22"/>
          <w:szCs w:val="22"/>
        </w:rPr>
        <w:footnoteReference w:id="21"/>
      </w:r>
      <w:r w:rsidRPr="00F1451C">
        <w:rPr>
          <w:rFonts w:ascii="Arial" w:hAnsi="Arial" w:cs="Arial"/>
          <w:sz w:val="22"/>
          <w:szCs w:val="22"/>
        </w:rPr>
        <w:t xml:space="preserve">. </w:t>
      </w:r>
    </w:p>
    <w:p w14:paraId="1B7F197B"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8)  </w:t>
      </w:r>
      <w:r w:rsidRPr="00A73119">
        <w:rPr>
          <w:rFonts w:ascii="Arial" w:hAnsi="Arial" w:cs="Arial"/>
          <w:b/>
          <w:bCs/>
          <w:sz w:val="22"/>
          <w:szCs w:val="22"/>
        </w:rPr>
        <w:t>Zaświadczenie właściwego Naczelnika Urzędu Skarbowego</w:t>
      </w:r>
      <w:r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9) </w:t>
      </w:r>
      <w:r w:rsidRPr="00A73119">
        <w:rPr>
          <w:rFonts w:ascii="Arial" w:hAnsi="Arial" w:cs="Arial"/>
          <w:b/>
          <w:bCs/>
          <w:sz w:val="22"/>
          <w:szCs w:val="22"/>
        </w:rPr>
        <w:t xml:space="preserve">Zaświadczenie albo inny dokument właściwej terenowej jednostki organizacyjnej Zakładu Ubezpieczeń Społecznych </w:t>
      </w:r>
      <w:r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77777777" w:rsidR="008548A7" w:rsidRPr="00A73119"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10) </w:t>
      </w:r>
      <w:r w:rsidRPr="00A73119">
        <w:rPr>
          <w:rFonts w:ascii="Arial" w:hAnsi="Arial" w:cs="Arial"/>
          <w:b/>
          <w:bCs/>
          <w:sz w:val="22"/>
          <w:szCs w:val="22"/>
        </w:rPr>
        <w:t xml:space="preserve">odpis lub informacja z Krajowego Rejestru Sądowego lub z Centralnej Ewidencji i Informacji o Działalności Gospodarczej, </w:t>
      </w:r>
      <w:r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w:t>
      </w:r>
      <w:r w:rsidR="00AA6CDC" w:rsidRPr="00F1451C">
        <w:rPr>
          <w:rFonts w:ascii="Arial" w:hAnsi="Arial" w:cs="Arial"/>
          <w:sz w:val="22"/>
          <w:szCs w:val="22"/>
          <w:shd w:val="clear" w:color="auto" w:fill="FFFFFF"/>
        </w:rPr>
        <w:lastRenderedPageBreak/>
        <w:t xml:space="preserve">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2"/>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3"/>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Ogólne zasady korzystania z Platformy, z zastrzeżeniem pkt 8 niniejszego Rozdziału;</w:t>
      </w:r>
    </w:p>
    <w:p w14:paraId="0198033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informuje, iż w przypadku jakichkolwiek wątpliwości związanych z zasadami korzystania z Platformy, Wykonawca winien skontaktować się z dostawcą </w:t>
      </w:r>
      <w:r w:rsidRPr="006E1A68">
        <w:rPr>
          <w:rFonts w:ascii="Arial" w:hAnsi="Arial" w:cs="Arial"/>
          <w:sz w:val="22"/>
          <w:szCs w:val="22"/>
        </w:rPr>
        <w:lastRenderedPageBreak/>
        <w:t>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je za wiążące. </w:t>
      </w:r>
      <w:r w:rsidRPr="006E1A68">
        <w:rPr>
          <w:rFonts w:ascii="Arial" w:hAnsi="Arial" w:cs="Arial"/>
          <w:sz w:val="22"/>
          <w:szCs w:val="22"/>
        </w:rPr>
        <w:lastRenderedPageBreak/>
        <w:t>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żąda złożenia wraz z ofertą przedmiotowych środków dowodowych na potwierdzenie zgodności oferowanych usług budowlanych z </w:t>
      </w:r>
      <w:r w:rsidRPr="00051C0A">
        <w:rPr>
          <w:rFonts w:ascii="Arial" w:hAnsi="Arial" w:cs="Arial"/>
          <w:sz w:val="22"/>
          <w:szCs w:val="22"/>
        </w:rPr>
        <w:lastRenderedPageBreak/>
        <w:t>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77777777" w:rsidR="00A22147" w:rsidRPr="00F1451C"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4"/>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5"/>
      </w:r>
    </w:p>
    <w:p w14:paraId="573FC389" w14:textId="02C04D9A" w:rsidR="000C12FE" w:rsidRPr="00F1451C" w:rsidRDefault="00475975" w:rsidP="001455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145561">
        <w:rPr>
          <w:rFonts w:ascii="Arial" w:hAnsi="Arial" w:cs="Arial"/>
          <w:b/>
          <w:sz w:val="22"/>
          <w:szCs w:val="22"/>
        </w:rPr>
        <w:t xml:space="preserve">70 </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145561">
        <w:rPr>
          <w:rFonts w:ascii="Arial" w:hAnsi="Arial" w:cs="Arial"/>
          <w:sz w:val="22"/>
          <w:szCs w:val="22"/>
        </w:rPr>
        <w:t>siedemdziesiąt</w:t>
      </w:r>
      <w:r w:rsidR="00242DBD">
        <w:rPr>
          <w:rFonts w:ascii="Arial" w:hAnsi="Arial" w:cs="Arial"/>
          <w:sz w:val="22"/>
          <w:szCs w:val="22"/>
        </w:rPr>
        <w:t xml:space="preserve"> </w:t>
      </w:r>
      <w:r w:rsidR="001D4F69">
        <w:rPr>
          <w:rFonts w:ascii="Arial" w:hAnsi="Arial" w:cs="Arial"/>
          <w:sz w:val="22"/>
          <w:szCs w:val="22"/>
        </w:rPr>
        <w:t>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Pr="00F1451C">
        <w:rPr>
          <w:rFonts w:ascii="Arial" w:hAnsi="Arial" w:cs="Arial"/>
          <w:i/>
          <w:sz w:val="22"/>
          <w:szCs w:val="22"/>
        </w:rPr>
        <w:t>...............</w:t>
      </w:r>
      <w:r w:rsidR="0020416A" w:rsidRPr="00F1451C">
        <w:rPr>
          <w:rFonts w:ascii="Arial" w:hAnsi="Arial" w:cs="Arial"/>
          <w:i/>
          <w:sz w:val="22"/>
          <w:szCs w:val="22"/>
        </w:rPr>
        <w:t>.</w:t>
      </w:r>
      <w:r w:rsidR="00C63673" w:rsidRPr="00F1451C">
        <w:rPr>
          <w:rFonts w:ascii="Arial" w:hAnsi="Arial" w:cs="Arial"/>
          <w:i/>
          <w:sz w:val="22"/>
          <w:szCs w:val="22"/>
        </w:rPr>
        <w:t xml:space="preserve"> </w:t>
      </w:r>
      <w:r w:rsidRPr="00F1451C">
        <w:rPr>
          <w:rFonts w:ascii="Arial" w:hAnsi="Arial" w:cs="Arial"/>
          <w:i/>
          <w:sz w:val="22"/>
          <w:szCs w:val="22"/>
        </w:rPr>
        <w:t>...</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3D131B33" w:rsidR="0025764F" w:rsidRPr="00F1451C" w:rsidRDefault="00475975" w:rsidP="000F2DD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0F2DDD">
        <w:rPr>
          <w:rFonts w:ascii="Arial" w:hAnsi="Arial" w:cs="Arial"/>
          <w:b/>
          <w:sz w:val="22"/>
          <w:szCs w:val="22"/>
        </w:rPr>
        <w:t>21.11.2021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391C2D1E" w:rsidR="001D3275" w:rsidRPr="00F1451C" w:rsidRDefault="00475975" w:rsidP="000F2DDD">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0F2DDD">
        <w:rPr>
          <w:rFonts w:ascii="Arial" w:hAnsi="Arial" w:cs="Arial"/>
          <w:b/>
          <w:sz w:val="22"/>
          <w:szCs w:val="22"/>
        </w:rPr>
        <w:t>24.08.2021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49ED959C" w:rsidR="00AF69A7" w:rsidRPr="00F1451C" w:rsidRDefault="00475975" w:rsidP="000F2DDD">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0F2DDD">
        <w:rPr>
          <w:rFonts w:ascii="Arial" w:hAnsi="Arial" w:cs="Arial"/>
          <w:b/>
          <w:bCs/>
          <w:sz w:val="22"/>
          <w:szCs w:val="22"/>
        </w:rPr>
        <w:t>24.08</w:t>
      </w:r>
      <w:bookmarkStart w:id="3" w:name="_GoBack"/>
      <w:bookmarkEnd w:id="3"/>
      <w:r w:rsidR="000F2DDD">
        <w:rPr>
          <w:rFonts w:ascii="Arial" w:hAnsi="Arial" w:cs="Arial"/>
          <w:b/>
          <w:bCs/>
          <w:sz w:val="22"/>
          <w:szCs w:val="22"/>
        </w:rPr>
        <w:t>.2021 r.</w:t>
      </w:r>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3FB1F47A"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8FCC35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p>
    <w:p w14:paraId="03DDA97C" w14:textId="77777777" w:rsidR="009D091E" w:rsidRPr="00F1451C" w:rsidRDefault="009D091E" w:rsidP="006F0854">
      <w:pPr>
        <w:spacing w:line="304" w:lineRule="exact"/>
        <w:ind w:left="852" w:hanging="426"/>
        <w:rPr>
          <w:rFonts w:ascii="Arial" w:hAnsi="Arial" w:cs="Arial"/>
          <w:sz w:val="22"/>
          <w:szCs w:val="22"/>
        </w:rPr>
      </w:pPr>
    </w:p>
    <w:p w14:paraId="69BBB038"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C54F09" w:rsidRPr="00F1451C">
        <w:rPr>
          <w:rFonts w:ascii="Arial" w:hAnsi="Arial" w:cs="Arial"/>
          <w:b/>
          <w:sz w:val="22"/>
          <w:szCs w:val="22"/>
        </w:rPr>
        <w:t>:</w:t>
      </w:r>
    </w:p>
    <w:p w14:paraId="60643AB2" w14:textId="77777777" w:rsidR="00972413" w:rsidRPr="00F1451C" w:rsidRDefault="00972413" w:rsidP="00F1451C">
      <w:pPr>
        <w:pStyle w:val="Akapitzlist"/>
        <w:spacing w:line="304" w:lineRule="exact"/>
        <w:ind w:left="2124"/>
        <w:jc w:val="both"/>
        <w:rPr>
          <w:rFonts w:ascii="Arial" w:hAnsi="Arial" w:cs="Arial"/>
          <w:b/>
          <w:sz w:val="22"/>
          <w:szCs w:val="22"/>
        </w:rPr>
      </w:pPr>
      <w:r w:rsidRPr="00F1451C">
        <w:rPr>
          <w:rFonts w:ascii="Arial" w:hAnsi="Arial" w:cs="Arial"/>
          <w:b/>
          <w:sz w:val="22"/>
          <w:szCs w:val="22"/>
        </w:rPr>
        <w:t>cena najniższa brutto*</w:t>
      </w:r>
    </w:p>
    <w:p w14:paraId="002C9D27" w14:textId="77777777" w:rsidR="00972413" w:rsidRPr="00F1451C" w:rsidRDefault="00972413" w:rsidP="006256F2">
      <w:pPr>
        <w:pStyle w:val="Akapitzlist"/>
        <w:spacing w:line="304" w:lineRule="exact"/>
        <w:ind w:left="1080"/>
        <w:jc w:val="both"/>
        <w:rPr>
          <w:rFonts w:ascii="Arial" w:hAnsi="Arial" w:cs="Arial"/>
          <w:sz w:val="22"/>
          <w:szCs w:val="22"/>
        </w:rPr>
      </w:pPr>
      <w:r w:rsidRPr="00F1451C">
        <w:rPr>
          <w:rFonts w:ascii="Arial" w:hAnsi="Arial" w:cs="Arial"/>
          <w:b/>
          <w:sz w:val="22"/>
          <w:szCs w:val="22"/>
        </w:rPr>
        <w:t>C =</w:t>
      </w:r>
      <w:r w:rsidRPr="00F1451C">
        <w:rPr>
          <w:rFonts w:ascii="Arial" w:hAnsi="Arial" w:cs="Arial"/>
          <w:sz w:val="22"/>
          <w:szCs w:val="22"/>
        </w:rPr>
        <w:t xml:space="preserve"> </w:t>
      </w:r>
      <w:r w:rsidRPr="00F1451C">
        <w:rPr>
          <w:rFonts w:ascii="Arial" w:hAnsi="Arial" w:cs="Arial"/>
          <w:strike/>
          <w:sz w:val="22"/>
          <w:szCs w:val="22"/>
        </w:rPr>
        <w:t xml:space="preserve">------------------------------------------------ </w:t>
      </w:r>
      <w:r w:rsidRPr="00F1451C">
        <w:rPr>
          <w:rFonts w:ascii="Arial" w:hAnsi="Arial" w:cs="Arial"/>
          <w:sz w:val="22"/>
          <w:szCs w:val="22"/>
        </w:rPr>
        <w:t xml:space="preserve">  </w:t>
      </w:r>
      <w:r w:rsidRPr="00F1451C">
        <w:rPr>
          <w:rFonts w:ascii="Arial" w:hAnsi="Arial" w:cs="Arial"/>
          <w:b/>
          <w:sz w:val="22"/>
          <w:szCs w:val="22"/>
        </w:rPr>
        <w:t xml:space="preserve">x 100 pkt x </w:t>
      </w:r>
      <w:r w:rsidR="006256F2">
        <w:rPr>
          <w:rFonts w:ascii="Arial" w:hAnsi="Arial" w:cs="Arial"/>
          <w:b/>
          <w:sz w:val="22"/>
          <w:szCs w:val="22"/>
        </w:rPr>
        <w:t>10</w:t>
      </w:r>
      <w:r w:rsidR="000D275A" w:rsidRPr="00F1451C">
        <w:rPr>
          <w:rFonts w:ascii="Arial" w:hAnsi="Arial" w:cs="Arial"/>
          <w:b/>
          <w:sz w:val="22"/>
          <w:szCs w:val="22"/>
        </w:rPr>
        <w:t>0</w:t>
      </w:r>
      <w:r w:rsidRPr="00F1451C">
        <w:rPr>
          <w:rFonts w:ascii="Arial" w:hAnsi="Arial" w:cs="Arial"/>
          <w:b/>
          <w:sz w:val="22"/>
          <w:szCs w:val="22"/>
        </w:rPr>
        <w:t>%</w:t>
      </w:r>
    </w:p>
    <w:p w14:paraId="4A959684" w14:textId="77777777" w:rsidR="00972413" w:rsidRPr="00F1451C" w:rsidRDefault="00972413" w:rsidP="00F1451C">
      <w:pPr>
        <w:pStyle w:val="Akapitzlist"/>
        <w:spacing w:line="304" w:lineRule="exact"/>
        <w:ind w:left="1080"/>
        <w:jc w:val="both"/>
        <w:rPr>
          <w:rFonts w:ascii="Arial" w:hAnsi="Arial" w:cs="Arial"/>
          <w:b/>
          <w:sz w:val="22"/>
          <w:szCs w:val="22"/>
        </w:rPr>
      </w:pPr>
      <w:r w:rsidRPr="00F1451C">
        <w:rPr>
          <w:rFonts w:ascii="Arial" w:hAnsi="Arial" w:cs="Arial"/>
          <w:sz w:val="22"/>
          <w:szCs w:val="22"/>
        </w:rPr>
        <w:tab/>
      </w:r>
      <w:r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Pr="00F1451C">
        <w:rPr>
          <w:rFonts w:ascii="Arial" w:hAnsi="Arial" w:cs="Arial"/>
          <w:b/>
          <w:sz w:val="22"/>
          <w:szCs w:val="22"/>
        </w:rPr>
        <w:t>cena oferty ocenianej brutto</w:t>
      </w:r>
    </w:p>
    <w:p w14:paraId="67BC2C61" w14:textId="77777777" w:rsidR="00972413" w:rsidRPr="00F1451C" w:rsidRDefault="00972413" w:rsidP="00F1451C">
      <w:pPr>
        <w:spacing w:line="304" w:lineRule="exact"/>
        <w:ind w:left="372" w:firstLine="708"/>
        <w:jc w:val="both"/>
        <w:rPr>
          <w:rFonts w:ascii="Arial" w:hAnsi="Arial" w:cs="Arial"/>
          <w:b/>
          <w:sz w:val="22"/>
          <w:szCs w:val="22"/>
        </w:rPr>
      </w:pPr>
      <w:r w:rsidRPr="00F1451C">
        <w:rPr>
          <w:rFonts w:ascii="Arial" w:hAnsi="Arial" w:cs="Arial"/>
          <w:b/>
          <w:sz w:val="22"/>
          <w:szCs w:val="22"/>
        </w:rPr>
        <w:t>* spośród wszystkich złożonych ofert niepodlegających odrzuceniu</w:t>
      </w:r>
    </w:p>
    <w:p w14:paraId="38FF7914"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w:t>
      </w:r>
      <w:r w:rsidR="001D28CC" w:rsidRPr="00F1451C">
        <w:rPr>
          <w:rFonts w:ascii="Arial" w:hAnsi="Arial" w:cs="Arial"/>
          <w:sz w:val="22"/>
          <w:szCs w:val="22"/>
        </w:rPr>
        <w:lastRenderedPageBreak/>
        <w:t xml:space="preserve">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6"/>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972DB33" w14:textId="77777777"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816878">
        <w:rPr>
          <w:rFonts w:ascii="Arial" w:hAnsi="Arial" w:cs="Arial"/>
          <w:b w:val="0"/>
          <w:sz w:val="22"/>
          <w:szCs w:val="22"/>
        </w:rPr>
        <w:t>3</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6045FD" w:rsidRPr="00F1451C">
        <w:rPr>
          <w:rStyle w:val="Odwoanieprzypisudolnego"/>
          <w:rFonts w:ascii="Arial" w:hAnsi="Arial" w:cs="Arial"/>
          <w:b w:val="0"/>
          <w:sz w:val="22"/>
          <w:szCs w:val="22"/>
        </w:rPr>
        <w:footnoteReference w:id="27"/>
      </w:r>
      <w:r w:rsidR="00C004EF" w:rsidRPr="00F1451C">
        <w:rPr>
          <w:rFonts w:ascii="Arial" w:hAnsi="Arial" w:cs="Arial"/>
          <w:b w:val="0"/>
          <w:sz w:val="22"/>
          <w:szCs w:val="22"/>
        </w:rPr>
        <w:t>.</w:t>
      </w:r>
    </w:p>
    <w:p w14:paraId="164FF5D7"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1497096E"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0151900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10E8EC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1687E09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5BF57E7"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89C42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2D9FAC98" w14:textId="7777777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1AD06F4"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45F0A04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B416AE8"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57AF191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7361E31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D51C67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1538A13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388DCC3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2DF4E6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r w:rsidR="00140039" w:rsidRPr="00F1451C">
        <w:rPr>
          <w:rStyle w:val="Odwoanieprzypisudolnego"/>
          <w:rFonts w:ascii="Arial" w:hAnsi="Arial" w:cs="Arial"/>
          <w:b/>
          <w:sz w:val="22"/>
          <w:szCs w:val="22"/>
        </w:rPr>
        <w:footnoteReference w:id="28"/>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8C4E72">
        <w:rPr>
          <w:rFonts w:ascii="Arial" w:hAnsi="Arial" w:cs="Arial"/>
          <w:sz w:val="22"/>
          <w:szCs w:val="22"/>
        </w:rPr>
        <w:t>– nie dotyczy</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072ED74" w14:textId="5CDA73E3" w:rsidR="00446712" w:rsidRPr="00F1451C" w:rsidRDefault="00446712" w:rsidP="007B289A">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18BE2701" w14:textId="77777777" w:rsidR="007C4BF4" w:rsidRPr="00F1451C" w:rsidRDefault="007C4BF4" w:rsidP="00F1451C">
      <w:pPr>
        <w:suppressAutoHyphens/>
        <w:spacing w:line="304" w:lineRule="exact"/>
        <w:ind w:left="1694" w:hanging="1694"/>
        <w:jc w:val="both"/>
        <w:rPr>
          <w:rFonts w:ascii="Arial" w:hAnsi="Arial" w:cs="Arial"/>
          <w:sz w:val="22"/>
          <w:szCs w:val="22"/>
        </w:rPr>
      </w:pPr>
    </w:p>
    <w:p w14:paraId="51EB1ADE" w14:textId="77777777" w:rsidR="00F02DB9" w:rsidRDefault="00F02DB9" w:rsidP="00F1451C">
      <w:pPr>
        <w:suppressAutoHyphens/>
        <w:spacing w:line="304" w:lineRule="exact"/>
        <w:ind w:left="709" w:hanging="709"/>
        <w:jc w:val="both"/>
        <w:rPr>
          <w:rFonts w:ascii="Arial" w:hAnsi="Arial" w:cs="Arial"/>
          <w:b/>
          <w:sz w:val="22"/>
          <w:szCs w:val="22"/>
        </w:rPr>
      </w:pPr>
    </w:p>
    <w:p w14:paraId="437297C1" w14:textId="77777777" w:rsidR="007C4BF4" w:rsidRDefault="007C4BF4" w:rsidP="00F1451C">
      <w:pPr>
        <w:suppressAutoHyphens/>
        <w:spacing w:line="304" w:lineRule="exact"/>
        <w:ind w:left="709" w:hanging="709"/>
        <w:jc w:val="both"/>
        <w:rPr>
          <w:rFonts w:ascii="Arial" w:hAnsi="Arial" w:cs="Arial"/>
          <w:b/>
          <w:sz w:val="22"/>
          <w:szCs w:val="22"/>
        </w:rPr>
      </w:pPr>
    </w:p>
    <w:p w14:paraId="1E34B08A" w14:textId="77777777" w:rsidR="007C4BF4" w:rsidRDefault="007C4BF4" w:rsidP="00F1451C">
      <w:pPr>
        <w:suppressAutoHyphens/>
        <w:spacing w:line="304" w:lineRule="exact"/>
        <w:ind w:left="709" w:hanging="709"/>
        <w:jc w:val="both"/>
        <w:rPr>
          <w:rFonts w:ascii="Arial" w:hAnsi="Arial" w:cs="Arial"/>
          <w:b/>
          <w:sz w:val="22"/>
          <w:szCs w:val="22"/>
        </w:rPr>
      </w:pPr>
    </w:p>
    <w:p w14:paraId="66656769" w14:textId="77777777" w:rsidR="007C4BF4" w:rsidRDefault="007C4BF4" w:rsidP="00F1451C">
      <w:pPr>
        <w:suppressAutoHyphens/>
        <w:spacing w:line="304" w:lineRule="exact"/>
        <w:ind w:left="709" w:hanging="709"/>
        <w:jc w:val="both"/>
        <w:rPr>
          <w:rFonts w:ascii="Arial" w:hAnsi="Arial" w:cs="Arial"/>
          <w:b/>
          <w:sz w:val="22"/>
          <w:szCs w:val="22"/>
        </w:rPr>
      </w:pPr>
    </w:p>
    <w:p w14:paraId="5B3D19B5" w14:textId="77777777" w:rsidR="007C4BF4" w:rsidRDefault="007C4BF4" w:rsidP="00F1451C">
      <w:pPr>
        <w:suppressAutoHyphens/>
        <w:spacing w:line="304" w:lineRule="exact"/>
        <w:ind w:left="709" w:hanging="709"/>
        <w:jc w:val="both"/>
        <w:rPr>
          <w:rFonts w:ascii="Arial" w:hAnsi="Arial" w:cs="Arial"/>
          <w:b/>
          <w:sz w:val="22"/>
          <w:szCs w:val="22"/>
        </w:rPr>
      </w:pPr>
    </w:p>
    <w:p w14:paraId="52102A8A" w14:textId="77777777" w:rsidR="007C4BF4" w:rsidRDefault="007C4BF4" w:rsidP="00F1451C">
      <w:pPr>
        <w:suppressAutoHyphens/>
        <w:spacing w:line="304" w:lineRule="exact"/>
        <w:ind w:left="709" w:hanging="709"/>
        <w:jc w:val="both"/>
        <w:rPr>
          <w:rFonts w:ascii="Arial" w:hAnsi="Arial" w:cs="Arial"/>
          <w:b/>
          <w:sz w:val="22"/>
          <w:szCs w:val="22"/>
        </w:rPr>
      </w:pPr>
    </w:p>
    <w:p w14:paraId="513CDEA7" w14:textId="77777777" w:rsidR="007C4BF4" w:rsidRDefault="007C4BF4" w:rsidP="00F1451C">
      <w:pPr>
        <w:suppressAutoHyphens/>
        <w:spacing w:line="304" w:lineRule="exact"/>
        <w:ind w:left="709" w:hanging="709"/>
        <w:jc w:val="both"/>
        <w:rPr>
          <w:rFonts w:ascii="Arial" w:hAnsi="Arial" w:cs="Arial"/>
          <w:b/>
          <w:sz w:val="22"/>
          <w:szCs w:val="22"/>
        </w:rPr>
      </w:pPr>
    </w:p>
    <w:p w14:paraId="27368370" w14:textId="77777777" w:rsidR="007C4BF4" w:rsidRDefault="007C4BF4" w:rsidP="00F1451C">
      <w:pPr>
        <w:suppressAutoHyphens/>
        <w:spacing w:line="304" w:lineRule="exact"/>
        <w:ind w:left="709" w:hanging="709"/>
        <w:jc w:val="both"/>
        <w:rPr>
          <w:rFonts w:ascii="Arial" w:hAnsi="Arial" w:cs="Arial"/>
          <w:b/>
          <w:sz w:val="22"/>
          <w:szCs w:val="22"/>
        </w:rPr>
      </w:pPr>
    </w:p>
    <w:p w14:paraId="715D2033" w14:textId="77777777" w:rsidR="007C4BF4" w:rsidRDefault="007C4BF4" w:rsidP="00F1451C">
      <w:pPr>
        <w:suppressAutoHyphens/>
        <w:spacing w:line="304" w:lineRule="exact"/>
        <w:ind w:left="709" w:hanging="709"/>
        <w:jc w:val="both"/>
        <w:rPr>
          <w:rFonts w:ascii="Arial" w:hAnsi="Arial" w:cs="Arial"/>
          <w:b/>
          <w:sz w:val="22"/>
          <w:szCs w:val="22"/>
        </w:rPr>
      </w:pPr>
    </w:p>
    <w:p w14:paraId="1CA92D6E" w14:textId="77777777" w:rsidR="007C4BF4" w:rsidRDefault="007C4BF4" w:rsidP="00F1451C">
      <w:pPr>
        <w:suppressAutoHyphens/>
        <w:spacing w:line="304" w:lineRule="exact"/>
        <w:ind w:left="709" w:hanging="709"/>
        <w:jc w:val="both"/>
        <w:rPr>
          <w:rFonts w:ascii="Arial" w:hAnsi="Arial" w:cs="Arial"/>
          <w:b/>
          <w:sz w:val="22"/>
          <w:szCs w:val="22"/>
        </w:rPr>
      </w:pPr>
    </w:p>
    <w:p w14:paraId="214093D4" w14:textId="77777777" w:rsidR="007C4BF4" w:rsidRDefault="007C4BF4" w:rsidP="00F1451C">
      <w:pPr>
        <w:suppressAutoHyphens/>
        <w:spacing w:line="304" w:lineRule="exact"/>
        <w:ind w:left="709" w:hanging="709"/>
        <w:jc w:val="both"/>
        <w:rPr>
          <w:rFonts w:ascii="Arial" w:hAnsi="Arial" w:cs="Arial"/>
          <w:b/>
          <w:sz w:val="22"/>
          <w:szCs w:val="22"/>
        </w:rPr>
      </w:pPr>
    </w:p>
    <w:p w14:paraId="4573EEB4" w14:textId="77777777" w:rsidR="007C4BF4" w:rsidRDefault="007C4BF4" w:rsidP="00F1451C">
      <w:pPr>
        <w:suppressAutoHyphens/>
        <w:spacing w:line="304" w:lineRule="exact"/>
        <w:ind w:left="709" w:hanging="709"/>
        <w:jc w:val="both"/>
        <w:rPr>
          <w:rFonts w:ascii="Arial" w:hAnsi="Arial" w:cs="Arial"/>
          <w:b/>
          <w:sz w:val="22"/>
          <w:szCs w:val="22"/>
        </w:rPr>
      </w:pPr>
    </w:p>
    <w:p w14:paraId="0B993C32" w14:textId="77777777" w:rsidR="007C4BF4" w:rsidRDefault="007C4BF4" w:rsidP="00F1451C">
      <w:pPr>
        <w:suppressAutoHyphens/>
        <w:spacing w:line="304" w:lineRule="exact"/>
        <w:ind w:left="709" w:hanging="709"/>
        <w:jc w:val="both"/>
        <w:rPr>
          <w:rFonts w:ascii="Arial" w:hAnsi="Arial" w:cs="Arial"/>
          <w:b/>
          <w:sz w:val="22"/>
          <w:szCs w:val="22"/>
        </w:rPr>
      </w:pPr>
    </w:p>
    <w:p w14:paraId="10A7049D" w14:textId="77777777" w:rsidR="007C4BF4" w:rsidRDefault="007C4BF4" w:rsidP="00F1451C">
      <w:pPr>
        <w:suppressAutoHyphens/>
        <w:spacing w:line="304" w:lineRule="exact"/>
        <w:ind w:left="709" w:hanging="709"/>
        <w:jc w:val="both"/>
        <w:rPr>
          <w:rFonts w:ascii="Arial" w:hAnsi="Arial" w:cs="Arial"/>
          <w:b/>
          <w:sz w:val="22"/>
          <w:szCs w:val="22"/>
        </w:rPr>
      </w:pPr>
    </w:p>
    <w:p w14:paraId="7268A238" w14:textId="77777777" w:rsidR="007C4BF4" w:rsidRDefault="007C4BF4" w:rsidP="00F1451C">
      <w:pPr>
        <w:suppressAutoHyphens/>
        <w:spacing w:line="304" w:lineRule="exact"/>
        <w:ind w:left="709" w:hanging="709"/>
        <w:jc w:val="both"/>
        <w:rPr>
          <w:rFonts w:ascii="Arial" w:hAnsi="Arial" w:cs="Arial"/>
          <w:b/>
          <w:sz w:val="22"/>
          <w:szCs w:val="22"/>
        </w:rPr>
      </w:pPr>
    </w:p>
    <w:p w14:paraId="33243E79" w14:textId="77777777" w:rsidR="007C4BF4" w:rsidRDefault="007C4BF4" w:rsidP="00F1451C">
      <w:pPr>
        <w:suppressAutoHyphens/>
        <w:spacing w:line="304" w:lineRule="exact"/>
        <w:ind w:left="709" w:hanging="709"/>
        <w:jc w:val="both"/>
        <w:rPr>
          <w:rFonts w:ascii="Arial" w:hAnsi="Arial" w:cs="Arial"/>
          <w:b/>
          <w:sz w:val="22"/>
          <w:szCs w:val="22"/>
        </w:rPr>
      </w:pPr>
    </w:p>
    <w:p w14:paraId="107D72D0" w14:textId="77777777" w:rsidR="007C4BF4" w:rsidRDefault="007C4BF4" w:rsidP="00F1451C">
      <w:pPr>
        <w:suppressAutoHyphens/>
        <w:spacing w:line="304" w:lineRule="exact"/>
        <w:ind w:left="709" w:hanging="709"/>
        <w:jc w:val="both"/>
        <w:rPr>
          <w:rFonts w:ascii="Arial" w:hAnsi="Arial" w:cs="Arial"/>
          <w:b/>
          <w:sz w:val="22"/>
          <w:szCs w:val="22"/>
        </w:rPr>
      </w:pPr>
    </w:p>
    <w:p w14:paraId="37AA5AA6" w14:textId="77777777" w:rsidR="007C4BF4" w:rsidRDefault="007C4BF4" w:rsidP="00F1451C">
      <w:pPr>
        <w:suppressAutoHyphens/>
        <w:spacing w:line="304" w:lineRule="exact"/>
        <w:ind w:left="709" w:hanging="709"/>
        <w:jc w:val="both"/>
        <w:rPr>
          <w:rFonts w:ascii="Arial" w:hAnsi="Arial" w:cs="Arial"/>
          <w:b/>
          <w:sz w:val="22"/>
          <w:szCs w:val="22"/>
        </w:rPr>
      </w:pPr>
    </w:p>
    <w:p w14:paraId="1D6457EA" w14:textId="77777777" w:rsidR="007C4BF4" w:rsidRDefault="007C4BF4" w:rsidP="00F1451C">
      <w:pPr>
        <w:suppressAutoHyphens/>
        <w:spacing w:line="304" w:lineRule="exact"/>
        <w:ind w:left="709" w:hanging="709"/>
        <w:jc w:val="both"/>
        <w:rPr>
          <w:rFonts w:ascii="Arial" w:hAnsi="Arial" w:cs="Arial"/>
          <w:b/>
          <w:sz w:val="22"/>
          <w:szCs w:val="22"/>
        </w:rPr>
      </w:pPr>
    </w:p>
    <w:p w14:paraId="2D8D7C08" w14:textId="77777777" w:rsidR="007C4BF4" w:rsidRDefault="007C4BF4" w:rsidP="00F1451C">
      <w:pPr>
        <w:suppressAutoHyphens/>
        <w:spacing w:line="304" w:lineRule="exact"/>
        <w:ind w:left="709" w:hanging="709"/>
        <w:jc w:val="both"/>
        <w:rPr>
          <w:rFonts w:ascii="Arial" w:hAnsi="Arial" w:cs="Arial"/>
          <w:b/>
          <w:sz w:val="22"/>
          <w:szCs w:val="22"/>
        </w:rPr>
      </w:pPr>
    </w:p>
    <w:p w14:paraId="27DC1873" w14:textId="77777777" w:rsidR="007C4BF4" w:rsidRDefault="007C4BF4" w:rsidP="00F1451C">
      <w:pPr>
        <w:suppressAutoHyphens/>
        <w:spacing w:line="304" w:lineRule="exact"/>
        <w:ind w:left="709" w:hanging="709"/>
        <w:jc w:val="both"/>
        <w:rPr>
          <w:rFonts w:ascii="Arial" w:hAnsi="Arial" w:cs="Arial"/>
          <w:b/>
          <w:sz w:val="22"/>
          <w:szCs w:val="22"/>
        </w:rPr>
      </w:pPr>
    </w:p>
    <w:p w14:paraId="41A2A993" w14:textId="77777777" w:rsidR="007C4BF4" w:rsidRDefault="007C4BF4" w:rsidP="00F1451C">
      <w:pPr>
        <w:suppressAutoHyphens/>
        <w:spacing w:line="304" w:lineRule="exact"/>
        <w:ind w:left="709" w:hanging="709"/>
        <w:jc w:val="both"/>
        <w:rPr>
          <w:rFonts w:ascii="Arial" w:hAnsi="Arial" w:cs="Arial"/>
          <w:b/>
          <w:sz w:val="22"/>
          <w:szCs w:val="22"/>
        </w:rPr>
      </w:pPr>
    </w:p>
    <w:p w14:paraId="18505647" w14:textId="77777777" w:rsidR="007C4BF4" w:rsidRDefault="007C4BF4" w:rsidP="00F1451C">
      <w:pPr>
        <w:suppressAutoHyphens/>
        <w:spacing w:line="304" w:lineRule="exact"/>
        <w:ind w:left="709" w:hanging="709"/>
        <w:jc w:val="both"/>
        <w:rPr>
          <w:rFonts w:ascii="Arial" w:hAnsi="Arial" w:cs="Arial"/>
          <w:b/>
          <w:sz w:val="22"/>
          <w:szCs w:val="22"/>
        </w:rPr>
      </w:pPr>
    </w:p>
    <w:p w14:paraId="5D0AAE85" w14:textId="77777777" w:rsidR="007C4BF4" w:rsidRDefault="007C4BF4" w:rsidP="00F1451C">
      <w:pPr>
        <w:suppressAutoHyphens/>
        <w:spacing w:line="304" w:lineRule="exact"/>
        <w:ind w:left="709" w:hanging="709"/>
        <w:jc w:val="both"/>
        <w:rPr>
          <w:rFonts w:ascii="Arial" w:hAnsi="Arial" w:cs="Arial"/>
          <w:b/>
          <w:sz w:val="22"/>
          <w:szCs w:val="22"/>
        </w:rPr>
      </w:pPr>
    </w:p>
    <w:p w14:paraId="7DD5FE27" w14:textId="77777777" w:rsidR="007C4BF4" w:rsidRDefault="007C4BF4" w:rsidP="00F1451C">
      <w:pPr>
        <w:suppressAutoHyphens/>
        <w:spacing w:line="304" w:lineRule="exact"/>
        <w:ind w:left="709" w:hanging="709"/>
        <w:jc w:val="both"/>
        <w:rPr>
          <w:rFonts w:ascii="Arial" w:hAnsi="Arial" w:cs="Arial"/>
          <w:b/>
          <w:sz w:val="22"/>
          <w:szCs w:val="22"/>
        </w:rPr>
      </w:pPr>
    </w:p>
    <w:p w14:paraId="15841635" w14:textId="77777777" w:rsidR="00584C3C" w:rsidRDefault="00584C3C" w:rsidP="00F1451C">
      <w:pPr>
        <w:suppressAutoHyphens/>
        <w:spacing w:line="304" w:lineRule="exact"/>
        <w:ind w:left="709" w:hanging="709"/>
        <w:jc w:val="both"/>
        <w:rPr>
          <w:rFonts w:ascii="Arial" w:hAnsi="Arial" w:cs="Arial"/>
          <w:b/>
          <w:sz w:val="22"/>
          <w:szCs w:val="22"/>
        </w:rPr>
      </w:pPr>
    </w:p>
    <w:p w14:paraId="0754A26F" w14:textId="77777777" w:rsidR="00584C3C" w:rsidRPr="00F1451C" w:rsidRDefault="00584C3C" w:rsidP="00F1451C">
      <w:pPr>
        <w:suppressAutoHyphens/>
        <w:spacing w:line="304" w:lineRule="exact"/>
        <w:ind w:left="709" w:hanging="709"/>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288"/>
        <w:gridCol w:w="5774"/>
      </w:tblGrid>
      <w:tr w:rsidR="007C4BF4" w:rsidRPr="00F1451C" w14:paraId="42B8E493" w14:textId="77777777" w:rsidTr="007034C3">
        <w:trPr>
          <w:trHeight w:val="569"/>
        </w:trPr>
        <w:tc>
          <w:tcPr>
            <w:tcW w:w="1814" w:type="pct"/>
            <w:hideMark/>
          </w:tcPr>
          <w:p w14:paraId="70E64070" w14:textId="77777777" w:rsidR="007C4BF4" w:rsidRPr="00F1451C" w:rsidRDefault="007C4BF4" w:rsidP="007034C3">
            <w:pPr>
              <w:suppressAutoHyphens/>
              <w:spacing w:line="304" w:lineRule="exact"/>
              <w:ind w:left="709" w:hanging="709"/>
              <w:rPr>
                <w:rFonts w:ascii="Arial" w:hAnsi="Arial" w:cs="Arial"/>
                <w:b/>
              </w:rPr>
            </w:pPr>
            <w:r w:rsidRPr="00F1451C">
              <w:rPr>
                <w:rFonts w:ascii="Arial" w:hAnsi="Arial" w:cs="Arial"/>
                <w:b/>
              </w:rPr>
              <w:t>Funkcja w Komisji Przetargowej:</w:t>
            </w:r>
          </w:p>
        </w:tc>
        <w:tc>
          <w:tcPr>
            <w:tcW w:w="3186"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7C4BF4" w:rsidRPr="00F1451C" w14:paraId="4D6E9D0A" w14:textId="77777777" w:rsidTr="007034C3">
        <w:trPr>
          <w:trHeight w:val="569"/>
        </w:trPr>
        <w:tc>
          <w:tcPr>
            <w:tcW w:w="1814" w:type="pct"/>
            <w:hideMark/>
          </w:tcPr>
          <w:p w14:paraId="4A25BBC3"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3186" w:type="pct"/>
            <w:hideMark/>
          </w:tcPr>
          <w:p w14:paraId="24A0F1F2"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Mirosław Jabłoński</w:t>
            </w:r>
          </w:p>
        </w:tc>
      </w:tr>
      <w:tr w:rsidR="007C4BF4" w:rsidRPr="00F1451C" w14:paraId="3C430444" w14:textId="77777777" w:rsidTr="007034C3">
        <w:trPr>
          <w:trHeight w:val="569"/>
        </w:trPr>
        <w:tc>
          <w:tcPr>
            <w:tcW w:w="1814" w:type="pct"/>
            <w:hideMark/>
          </w:tcPr>
          <w:p w14:paraId="278B7774"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2C72696B"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Magdalena Palkowska</w:t>
            </w:r>
          </w:p>
        </w:tc>
      </w:tr>
      <w:tr w:rsidR="007C4BF4" w:rsidRPr="00F1451C" w14:paraId="7C04012D" w14:textId="77777777" w:rsidTr="007034C3">
        <w:trPr>
          <w:trHeight w:val="574"/>
        </w:trPr>
        <w:tc>
          <w:tcPr>
            <w:tcW w:w="1814" w:type="pct"/>
            <w:hideMark/>
          </w:tcPr>
          <w:p w14:paraId="720768BC"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vAlign w:val="center"/>
            <w:hideMark/>
          </w:tcPr>
          <w:p w14:paraId="2149F1CE" w14:textId="77777777" w:rsidR="007C4BF4" w:rsidRDefault="007C4BF4" w:rsidP="007034C3">
            <w:pPr>
              <w:suppressAutoHyphens/>
              <w:spacing w:line="304" w:lineRule="exact"/>
              <w:jc w:val="center"/>
              <w:rPr>
                <w:rFonts w:ascii="Arial" w:hAnsi="Arial" w:cs="Arial"/>
              </w:rPr>
            </w:pPr>
            <w:r>
              <w:rPr>
                <w:rFonts w:ascii="Arial" w:hAnsi="Arial" w:cs="Arial"/>
              </w:rPr>
              <w:t>Grzegorz Wrona</w:t>
            </w:r>
          </w:p>
          <w:p w14:paraId="2CCE28E7" w14:textId="77777777" w:rsidR="007C4BF4" w:rsidRPr="00F1451C" w:rsidRDefault="007C4BF4" w:rsidP="007034C3">
            <w:pPr>
              <w:suppressAutoHyphens/>
              <w:spacing w:line="304" w:lineRule="exact"/>
              <w:ind w:left="709" w:hanging="709"/>
              <w:jc w:val="center"/>
              <w:rPr>
                <w:rFonts w:ascii="Arial" w:hAnsi="Arial" w:cs="Arial"/>
              </w:rPr>
            </w:pPr>
          </w:p>
        </w:tc>
      </w:tr>
      <w:tr w:rsidR="007C4BF4" w:rsidRPr="00F1451C" w14:paraId="05A39E1E" w14:textId="77777777" w:rsidTr="007034C3">
        <w:trPr>
          <w:trHeight w:val="569"/>
        </w:trPr>
        <w:tc>
          <w:tcPr>
            <w:tcW w:w="1814" w:type="pct"/>
          </w:tcPr>
          <w:p w14:paraId="40AE24B1" w14:textId="77777777" w:rsidR="007C4BF4" w:rsidRPr="00F1451C"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73C27230" w14:textId="77777777" w:rsidR="007C4BF4" w:rsidRDefault="007C4BF4" w:rsidP="007034C3">
            <w:pPr>
              <w:suppressAutoHyphens/>
              <w:spacing w:line="304" w:lineRule="exact"/>
              <w:ind w:left="709" w:hanging="709"/>
              <w:jc w:val="center"/>
              <w:rPr>
                <w:rFonts w:ascii="Arial" w:hAnsi="Arial" w:cs="Arial"/>
              </w:rPr>
            </w:pPr>
            <w:r>
              <w:rPr>
                <w:rFonts w:ascii="Arial" w:hAnsi="Arial" w:cs="Arial"/>
              </w:rPr>
              <w:t>Elżbieta Kaczmarczyk</w:t>
            </w:r>
          </w:p>
        </w:tc>
      </w:tr>
      <w:tr w:rsidR="007C4BF4" w:rsidRPr="00F1451C" w14:paraId="28F9BCA5" w14:textId="77777777" w:rsidTr="007034C3">
        <w:trPr>
          <w:trHeight w:val="569"/>
        </w:trPr>
        <w:tc>
          <w:tcPr>
            <w:tcW w:w="1814" w:type="pct"/>
          </w:tcPr>
          <w:p w14:paraId="70F58FFB" w14:textId="77777777" w:rsidR="007C4BF4"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7A17B09" w14:textId="77777777" w:rsidR="007C4BF4" w:rsidRDefault="007C4BF4" w:rsidP="007034C3">
            <w:pPr>
              <w:suppressAutoHyphens/>
              <w:spacing w:line="304" w:lineRule="exact"/>
              <w:ind w:left="709" w:hanging="709"/>
              <w:jc w:val="center"/>
              <w:rPr>
                <w:rFonts w:ascii="Arial" w:hAnsi="Arial" w:cs="Arial"/>
              </w:rPr>
            </w:pPr>
            <w:r>
              <w:rPr>
                <w:rFonts w:ascii="Arial" w:hAnsi="Arial" w:cs="Arial"/>
              </w:rPr>
              <w:t>Nowak Stanisław</w:t>
            </w:r>
          </w:p>
        </w:tc>
      </w:tr>
      <w:tr w:rsidR="007C4BF4" w:rsidRPr="00F1451C" w14:paraId="17BBE0C4" w14:textId="77777777" w:rsidTr="007034C3">
        <w:trPr>
          <w:trHeight w:val="569"/>
        </w:trPr>
        <w:tc>
          <w:tcPr>
            <w:tcW w:w="1814" w:type="pct"/>
          </w:tcPr>
          <w:p w14:paraId="0FC6DE83" w14:textId="77777777" w:rsidR="007C4BF4"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5B52EF86" w14:textId="77777777" w:rsidR="007C4BF4" w:rsidRDefault="007C4BF4" w:rsidP="007034C3">
            <w:pPr>
              <w:suppressAutoHyphens/>
              <w:spacing w:line="304" w:lineRule="exact"/>
              <w:ind w:left="709" w:hanging="709"/>
              <w:jc w:val="center"/>
              <w:rPr>
                <w:rFonts w:ascii="Arial" w:hAnsi="Arial" w:cs="Arial"/>
              </w:rPr>
            </w:pPr>
            <w:r>
              <w:rPr>
                <w:rFonts w:ascii="Arial" w:hAnsi="Arial" w:cs="Arial"/>
              </w:rPr>
              <w:t>Mariusz Żurawski</w:t>
            </w:r>
          </w:p>
        </w:tc>
      </w:tr>
      <w:tr w:rsidR="007C4BF4" w:rsidRPr="00F1451C" w14:paraId="17F58FC1" w14:textId="77777777" w:rsidTr="007034C3">
        <w:trPr>
          <w:trHeight w:val="569"/>
        </w:trPr>
        <w:tc>
          <w:tcPr>
            <w:tcW w:w="1814" w:type="pct"/>
          </w:tcPr>
          <w:p w14:paraId="1DAA8710" w14:textId="77777777" w:rsidR="007C4BF4"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20C2BB5" w14:textId="77777777" w:rsidR="007C4BF4" w:rsidDel="00737402" w:rsidRDefault="007C4BF4" w:rsidP="007034C3">
            <w:pPr>
              <w:suppressAutoHyphens/>
              <w:spacing w:line="304" w:lineRule="exact"/>
              <w:ind w:left="709" w:hanging="709"/>
              <w:jc w:val="center"/>
              <w:rPr>
                <w:rFonts w:ascii="Arial" w:hAnsi="Arial" w:cs="Arial"/>
              </w:rPr>
            </w:pPr>
            <w:r>
              <w:rPr>
                <w:rFonts w:ascii="Arial" w:hAnsi="Arial" w:cs="Arial"/>
              </w:rPr>
              <w:t xml:space="preserve"> Witaszek Adam</w:t>
            </w:r>
          </w:p>
        </w:tc>
      </w:tr>
      <w:tr w:rsidR="007C4BF4" w:rsidRPr="00F1451C" w14:paraId="0D4AFEA5" w14:textId="77777777" w:rsidTr="007034C3">
        <w:trPr>
          <w:trHeight w:val="569"/>
        </w:trPr>
        <w:tc>
          <w:tcPr>
            <w:tcW w:w="1814" w:type="pct"/>
          </w:tcPr>
          <w:p w14:paraId="4298A027" w14:textId="77777777" w:rsidR="007C4BF4"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7444C51E" w14:textId="77777777" w:rsidR="007C4BF4" w:rsidRDefault="007C4BF4" w:rsidP="007034C3">
            <w:pPr>
              <w:suppressAutoHyphens/>
              <w:spacing w:line="304" w:lineRule="exact"/>
              <w:ind w:left="709" w:hanging="709"/>
              <w:jc w:val="center"/>
              <w:rPr>
                <w:rFonts w:ascii="Arial" w:hAnsi="Arial" w:cs="Arial"/>
              </w:rPr>
            </w:pPr>
            <w:r>
              <w:rPr>
                <w:rFonts w:ascii="Arial" w:hAnsi="Arial" w:cs="Arial"/>
              </w:rPr>
              <w:t xml:space="preserve"> Sadłocha Ewelina</w:t>
            </w:r>
          </w:p>
        </w:tc>
      </w:tr>
      <w:tr w:rsidR="007C4BF4" w:rsidRPr="00F1451C" w14:paraId="16BEB0A6" w14:textId="77777777" w:rsidTr="007034C3">
        <w:trPr>
          <w:trHeight w:val="569"/>
        </w:trPr>
        <w:tc>
          <w:tcPr>
            <w:tcW w:w="1814" w:type="pct"/>
          </w:tcPr>
          <w:p w14:paraId="1117C567" w14:textId="77777777" w:rsidR="007C4BF4" w:rsidRDefault="007C4BF4" w:rsidP="007034C3">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57FCC281" w14:textId="77777777" w:rsidR="007C4BF4" w:rsidRDefault="007C4BF4" w:rsidP="007034C3">
            <w:pPr>
              <w:suppressAutoHyphens/>
              <w:spacing w:line="304" w:lineRule="exact"/>
              <w:ind w:left="709" w:hanging="709"/>
              <w:jc w:val="center"/>
              <w:rPr>
                <w:rFonts w:ascii="Arial" w:hAnsi="Arial" w:cs="Arial"/>
              </w:rPr>
            </w:pPr>
            <w:r>
              <w:rPr>
                <w:rFonts w:ascii="Arial" w:hAnsi="Arial" w:cs="Arial"/>
              </w:rPr>
              <w:t>Edyta Szymczak</w:t>
            </w:r>
          </w:p>
        </w:tc>
      </w:tr>
      <w:tr w:rsidR="007C4BF4" w:rsidRPr="00F1451C" w14:paraId="15A85C9D" w14:textId="77777777" w:rsidTr="007034C3">
        <w:trPr>
          <w:trHeight w:val="569"/>
        </w:trPr>
        <w:tc>
          <w:tcPr>
            <w:tcW w:w="1814" w:type="pct"/>
          </w:tcPr>
          <w:p w14:paraId="2C8B855B" w14:textId="77777777" w:rsidR="007C4BF4" w:rsidRPr="00F1451C" w:rsidRDefault="007C4BF4" w:rsidP="007034C3">
            <w:pPr>
              <w:suppressAutoHyphens/>
              <w:spacing w:line="304" w:lineRule="exact"/>
              <w:jc w:val="both"/>
              <w:rPr>
                <w:rFonts w:ascii="Arial" w:hAnsi="Arial" w:cs="Arial"/>
              </w:rPr>
            </w:pPr>
            <w:r w:rsidRPr="00F1451C">
              <w:rPr>
                <w:rFonts w:ascii="Arial" w:hAnsi="Arial" w:cs="Arial"/>
              </w:rPr>
              <w:t>Sekretarz Komisji</w:t>
            </w:r>
          </w:p>
        </w:tc>
        <w:tc>
          <w:tcPr>
            <w:tcW w:w="3186" w:type="pct"/>
          </w:tcPr>
          <w:p w14:paraId="7F87BE9C"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Leszek Madej</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931C701" w14:textId="77777777" w:rsidR="00AD1C8A" w:rsidRDefault="00AD1C8A" w:rsidP="00F1451C">
      <w:pPr>
        <w:suppressAutoHyphens/>
        <w:spacing w:line="304" w:lineRule="exact"/>
        <w:ind w:left="709" w:hanging="709"/>
        <w:jc w:val="right"/>
        <w:rPr>
          <w:rFonts w:ascii="Arial" w:hAnsi="Arial" w:cs="Arial"/>
          <w:bCs/>
          <w:sz w:val="22"/>
          <w:szCs w:val="22"/>
        </w:rPr>
      </w:pPr>
    </w:p>
    <w:p w14:paraId="35AC61D5" w14:textId="77777777" w:rsidR="00E2651E" w:rsidRDefault="00E2651E" w:rsidP="00F1451C">
      <w:pPr>
        <w:suppressAutoHyphens/>
        <w:spacing w:line="304" w:lineRule="exact"/>
        <w:ind w:left="709" w:hanging="709"/>
        <w:jc w:val="right"/>
        <w:rPr>
          <w:rFonts w:ascii="Arial" w:hAnsi="Arial" w:cs="Arial"/>
          <w:bCs/>
          <w:sz w:val="22"/>
          <w:szCs w:val="22"/>
        </w:rPr>
      </w:pPr>
    </w:p>
    <w:p w14:paraId="3131F482" w14:textId="77777777" w:rsidR="00E2651E" w:rsidRDefault="00E2651E" w:rsidP="00F1451C">
      <w:pPr>
        <w:suppressAutoHyphens/>
        <w:spacing w:line="304" w:lineRule="exact"/>
        <w:ind w:left="709" w:hanging="709"/>
        <w:jc w:val="right"/>
        <w:rPr>
          <w:rFonts w:ascii="Arial" w:hAnsi="Arial" w:cs="Arial"/>
          <w:bCs/>
          <w:sz w:val="22"/>
          <w:szCs w:val="22"/>
        </w:rPr>
      </w:pPr>
    </w:p>
    <w:p w14:paraId="647DE7AE" w14:textId="77777777" w:rsidR="00E2651E" w:rsidRDefault="00E2651E" w:rsidP="00F1451C">
      <w:pPr>
        <w:suppressAutoHyphens/>
        <w:spacing w:line="304" w:lineRule="exact"/>
        <w:ind w:left="709" w:hanging="709"/>
        <w:jc w:val="right"/>
        <w:rPr>
          <w:rFonts w:ascii="Arial" w:hAnsi="Arial" w:cs="Arial"/>
          <w:bCs/>
          <w:sz w:val="22"/>
          <w:szCs w:val="22"/>
        </w:rPr>
      </w:pPr>
    </w:p>
    <w:p w14:paraId="4D2DF0DA" w14:textId="77777777" w:rsidR="00E2651E" w:rsidRDefault="00E2651E" w:rsidP="00F1451C">
      <w:pPr>
        <w:suppressAutoHyphens/>
        <w:spacing w:line="304" w:lineRule="exact"/>
        <w:ind w:left="709" w:hanging="709"/>
        <w:jc w:val="right"/>
        <w:rPr>
          <w:rFonts w:ascii="Arial" w:hAnsi="Arial" w:cs="Arial"/>
          <w:bCs/>
          <w:sz w:val="22"/>
          <w:szCs w:val="22"/>
        </w:rPr>
      </w:pPr>
    </w:p>
    <w:p w14:paraId="767DB196" w14:textId="3D41604E" w:rsidR="00E2651E" w:rsidRDefault="00E2651E" w:rsidP="00F1451C">
      <w:pPr>
        <w:suppressAutoHyphens/>
        <w:spacing w:line="304" w:lineRule="exact"/>
        <w:ind w:left="709" w:hanging="709"/>
        <w:jc w:val="right"/>
        <w:rPr>
          <w:rFonts w:ascii="Arial" w:hAnsi="Arial" w:cs="Arial"/>
          <w:bCs/>
          <w:sz w:val="22"/>
          <w:szCs w:val="22"/>
        </w:rPr>
      </w:pPr>
    </w:p>
    <w:p w14:paraId="101861B6" w14:textId="3424E5D6" w:rsidR="00747164" w:rsidRDefault="00747164" w:rsidP="00F1451C">
      <w:pPr>
        <w:suppressAutoHyphens/>
        <w:spacing w:line="304" w:lineRule="exact"/>
        <w:ind w:left="709" w:hanging="709"/>
        <w:jc w:val="right"/>
        <w:rPr>
          <w:rFonts w:ascii="Arial" w:hAnsi="Arial" w:cs="Arial"/>
          <w:bCs/>
          <w:sz w:val="22"/>
          <w:szCs w:val="22"/>
        </w:rPr>
      </w:pPr>
    </w:p>
    <w:p w14:paraId="069204C2" w14:textId="2C3613E1" w:rsidR="00747164" w:rsidRDefault="00747164" w:rsidP="00F1451C">
      <w:pPr>
        <w:suppressAutoHyphens/>
        <w:spacing w:line="304" w:lineRule="exact"/>
        <w:ind w:left="709" w:hanging="709"/>
        <w:jc w:val="right"/>
        <w:rPr>
          <w:rFonts w:ascii="Arial" w:hAnsi="Arial" w:cs="Arial"/>
          <w:bCs/>
          <w:sz w:val="22"/>
          <w:szCs w:val="22"/>
        </w:rPr>
      </w:pPr>
    </w:p>
    <w:p w14:paraId="4F12B1E4" w14:textId="32A665A4" w:rsidR="001356CA" w:rsidRPr="00F1451C" w:rsidRDefault="001356CA" w:rsidP="00C217AF">
      <w:pPr>
        <w:suppressAutoHyphens/>
        <w:spacing w:line="304" w:lineRule="exact"/>
        <w:rPr>
          <w:rFonts w:ascii="Arial" w:hAnsi="Arial" w:cs="Arial"/>
          <w:bCs/>
          <w:sz w:val="22"/>
          <w:szCs w:val="22"/>
        </w:rPr>
      </w:pPr>
    </w:p>
    <w:p w14:paraId="1B3F4EF9" w14:textId="77777777" w:rsidR="00584C3C" w:rsidRPr="00F1451C" w:rsidRDefault="00584C3C" w:rsidP="00F1451C">
      <w:pPr>
        <w:spacing w:line="304" w:lineRule="exact"/>
        <w:rPr>
          <w:rFonts w:ascii="Arial" w:hAnsi="Arial" w:cs="Arial"/>
          <w:b/>
          <w:bCs/>
          <w:i/>
          <w:iCs/>
          <w:sz w:val="22"/>
          <w:szCs w:val="22"/>
        </w:rPr>
      </w:pP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77777777"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303AF1C7" w14:textId="77777777" w:rsidR="00B90E3F" w:rsidRPr="00F1451C" w:rsidRDefault="00B90E3F" w:rsidP="00F1451C">
      <w:pPr>
        <w:pStyle w:val="Akapitzlist"/>
        <w:spacing w:line="304" w:lineRule="exact"/>
        <w:ind w:left="792"/>
        <w:jc w:val="both"/>
        <w:rPr>
          <w:rFonts w:ascii="Arial" w:hAnsi="Arial" w:cs="Arial"/>
          <w:sz w:val="22"/>
          <w:szCs w:val="22"/>
        </w:rPr>
      </w:pPr>
    </w:p>
    <w:p w14:paraId="605A2905" w14:textId="77777777" w:rsidR="001B48D0" w:rsidRDefault="001B48D0" w:rsidP="004D158F">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7DE49AD3" w14:textId="77777777" w:rsidR="001B48D0" w:rsidRPr="009C3209" w:rsidRDefault="001B48D0" w:rsidP="004D158F">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147E7" w:rsidRPr="003147E7" w14:paraId="6B2A80DC" w14:textId="77777777" w:rsidTr="002B3E2A">
        <w:tc>
          <w:tcPr>
            <w:tcW w:w="4815" w:type="dxa"/>
            <w:shd w:val="clear" w:color="auto" w:fill="D9D9D9"/>
          </w:tcPr>
          <w:p w14:paraId="46149414" w14:textId="5C46FB6A"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ZA </w:t>
            </w:r>
            <w:r w:rsidR="007B289A">
              <w:rPr>
                <w:rFonts w:ascii="Franklin Gothic Book" w:hAnsi="Franklin Gothic Book" w:cs="Arial"/>
              </w:rPr>
              <w:t>24</w:t>
            </w:r>
            <w:r w:rsidRPr="003147E7">
              <w:rPr>
                <w:rFonts w:ascii="Franklin Gothic Book" w:hAnsi="Franklin Gothic Book" w:cs="Arial"/>
              </w:rPr>
              <w:t xml:space="preserve"> MIESI</w:t>
            </w:r>
            <w:r w:rsidR="007B289A">
              <w:rPr>
                <w:rFonts w:ascii="Franklin Gothic Book" w:hAnsi="Franklin Gothic Book" w:cs="Arial"/>
              </w:rPr>
              <w:t>ĄCE</w:t>
            </w:r>
            <w:r w:rsidRPr="003147E7">
              <w:rPr>
                <w:rFonts w:ascii="Franklin Gothic Book" w:hAnsi="Franklin Gothic Book" w:cs="Arial"/>
              </w:rPr>
              <w:t>[PLN]</w:t>
            </w:r>
          </w:p>
        </w:tc>
        <w:tc>
          <w:tcPr>
            <w:tcW w:w="4247" w:type="dxa"/>
          </w:tcPr>
          <w:p w14:paraId="1E818DD2"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1F12AF57" w14:textId="77777777" w:rsidTr="002B3E2A">
        <w:tc>
          <w:tcPr>
            <w:tcW w:w="4815" w:type="dxa"/>
            <w:shd w:val="clear" w:color="auto" w:fill="D9D9D9"/>
          </w:tcPr>
          <w:p w14:paraId="589E7460"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51E37BD6"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70B070AD" w14:textId="77777777" w:rsidTr="002B3E2A">
        <w:tc>
          <w:tcPr>
            <w:tcW w:w="4815" w:type="dxa"/>
            <w:shd w:val="clear" w:color="auto" w:fill="D9D9D9"/>
          </w:tcPr>
          <w:p w14:paraId="2ADD53FB" w14:textId="5CE9140C" w:rsidR="003147E7" w:rsidRPr="003147E7" w:rsidRDefault="003147E7" w:rsidP="007B289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ZA </w:t>
            </w:r>
            <w:r w:rsidR="007B289A">
              <w:rPr>
                <w:rFonts w:ascii="Franklin Gothic Book" w:hAnsi="Franklin Gothic Book" w:cs="Arial"/>
              </w:rPr>
              <w:t>24</w:t>
            </w:r>
            <w:r w:rsidR="007B289A" w:rsidRPr="003147E7">
              <w:rPr>
                <w:rFonts w:ascii="Franklin Gothic Book" w:hAnsi="Franklin Gothic Book" w:cs="Arial"/>
              </w:rPr>
              <w:t xml:space="preserve"> </w:t>
            </w:r>
            <w:r w:rsidRPr="003147E7">
              <w:rPr>
                <w:rFonts w:ascii="Franklin Gothic Book" w:hAnsi="Franklin Gothic Book" w:cs="Arial"/>
              </w:rPr>
              <w:t>MIESI</w:t>
            </w:r>
            <w:r w:rsidR="007B289A">
              <w:rPr>
                <w:rFonts w:ascii="Franklin Gothic Book" w:hAnsi="Franklin Gothic Book" w:cs="Arial"/>
              </w:rPr>
              <w:t>ĄCE</w:t>
            </w:r>
            <w:r w:rsidRPr="003147E7">
              <w:rPr>
                <w:rFonts w:ascii="Franklin Gothic Book" w:hAnsi="Franklin Gothic Book" w:cs="Arial"/>
              </w:rPr>
              <w:t>[PLN]</w:t>
            </w:r>
          </w:p>
        </w:tc>
        <w:tc>
          <w:tcPr>
            <w:tcW w:w="4247" w:type="dxa"/>
          </w:tcPr>
          <w:p w14:paraId="07EB8094"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B1A1B96" w14:textId="77777777" w:rsidTr="002B3E2A">
        <w:tc>
          <w:tcPr>
            <w:tcW w:w="4815" w:type="dxa"/>
            <w:shd w:val="clear" w:color="auto" w:fill="D9D9D9"/>
          </w:tcPr>
          <w:p w14:paraId="3BDF7E8E"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0806E209"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73F7871E" w14:textId="77777777" w:rsidTr="002B3E2A">
        <w:tc>
          <w:tcPr>
            <w:tcW w:w="4815" w:type="dxa"/>
            <w:shd w:val="clear" w:color="auto" w:fill="D9D9D9"/>
          </w:tcPr>
          <w:p w14:paraId="03A0F255"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507D5A21"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3308E9B4" w14:textId="77777777" w:rsidTr="002B3E2A">
        <w:tc>
          <w:tcPr>
            <w:tcW w:w="4815" w:type="dxa"/>
            <w:shd w:val="clear" w:color="auto" w:fill="D9D9D9"/>
          </w:tcPr>
          <w:p w14:paraId="7A076FA6"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0A5326EC"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12F9A41F" w14:textId="77777777" w:rsidTr="002B3E2A">
        <w:tc>
          <w:tcPr>
            <w:tcW w:w="4815" w:type="dxa"/>
            <w:shd w:val="clear" w:color="auto" w:fill="D9D9D9"/>
          </w:tcPr>
          <w:p w14:paraId="77FA5A2E"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MIESIĘCZNE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p>
        </w:tc>
        <w:tc>
          <w:tcPr>
            <w:tcW w:w="4247" w:type="dxa"/>
          </w:tcPr>
          <w:p w14:paraId="5A6294F7"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2EC01A59" w14:textId="77777777" w:rsidTr="002B3E2A">
        <w:tc>
          <w:tcPr>
            <w:tcW w:w="4815" w:type="dxa"/>
            <w:shd w:val="clear" w:color="auto" w:fill="D9D9D9"/>
          </w:tcPr>
          <w:p w14:paraId="0E19EB51"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136542CB"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7B15F4C0" w14:textId="77777777" w:rsidTr="002B3E2A">
        <w:tc>
          <w:tcPr>
            <w:tcW w:w="4815" w:type="dxa"/>
            <w:shd w:val="clear" w:color="auto" w:fill="D9D9D9"/>
          </w:tcPr>
          <w:p w14:paraId="1ABF8F71"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MIESIĘCZNE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[PLN]</w:t>
            </w:r>
          </w:p>
        </w:tc>
        <w:tc>
          <w:tcPr>
            <w:tcW w:w="4247" w:type="dxa"/>
          </w:tcPr>
          <w:p w14:paraId="41EEA3FD"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DEDD0E0" w14:textId="77777777" w:rsidTr="002B3E2A">
        <w:tc>
          <w:tcPr>
            <w:tcW w:w="4815" w:type="dxa"/>
            <w:shd w:val="clear" w:color="auto" w:fill="D9D9D9"/>
          </w:tcPr>
          <w:p w14:paraId="145B73C5"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13751686"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693A2760" w14:textId="77777777" w:rsidTr="002B3E2A">
        <w:tc>
          <w:tcPr>
            <w:tcW w:w="4815" w:type="dxa"/>
            <w:shd w:val="clear" w:color="auto" w:fill="D9D9D9"/>
          </w:tcPr>
          <w:p w14:paraId="7772CBB5"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09FDD0A6"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4C6B3850" w14:textId="77777777" w:rsidTr="002B3E2A">
        <w:tc>
          <w:tcPr>
            <w:tcW w:w="4815" w:type="dxa"/>
            <w:shd w:val="clear" w:color="auto" w:fill="D9D9D9"/>
          </w:tcPr>
          <w:p w14:paraId="77057B1E"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285127A9"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3DAB5E65" w14:textId="77777777" w:rsidTr="002B3E2A">
        <w:tc>
          <w:tcPr>
            <w:tcW w:w="4815" w:type="dxa"/>
            <w:shd w:val="clear" w:color="auto" w:fill="D9D9D9"/>
          </w:tcPr>
          <w:p w14:paraId="485C3E90"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DZIENNE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p>
        </w:tc>
        <w:tc>
          <w:tcPr>
            <w:tcW w:w="4247" w:type="dxa"/>
          </w:tcPr>
          <w:p w14:paraId="15D8EA90"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30A3A44F" w14:textId="77777777" w:rsidTr="002B3E2A">
        <w:tc>
          <w:tcPr>
            <w:tcW w:w="4815" w:type="dxa"/>
            <w:shd w:val="clear" w:color="auto" w:fill="D9D9D9"/>
          </w:tcPr>
          <w:p w14:paraId="7251187D"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2C255E69"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62BDC772" w14:textId="77777777" w:rsidTr="002B3E2A">
        <w:tc>
          <w:tcPr>
            <w:tcW w:w="4815" w:type="dxa"/>
            <w:shd w:val="clear" w:color="auto" w:fill="D9D9D9"/>
          </w:tcPr>
          <w:p w14:paraId="10E32D17"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DZIENNE </w:t>
            </w:r>
            <w:r w:rsidRPr="003147E7">
              <w:rPr>
                <w:rFonts w:ascii="Franklin Gothic Book" w:hAnsi="Franklin Gothic Book" w:cs="Arial"/>
                <w:b/>
              </w:rPr>
              <w:t xml:space="preserve">NETTO </w:t>
            </w:r>
            <w:r w:rsidRPr="003147E7">
              <w:rPr>
                <w:rFonts w:ascii="Franklin Gothic Book" w:hAnsi="Franklin Gothic Book" w:cs="Arial"/>
              </w:rPr>
              <w:t>ZA ZAKRES PRAC ROZLICZANY RYCZAŁTOWO [PLN]</w:t>
            </w:r>
          </w:p>
        </w:tc>
        <w:tc>
          <w:tcPr>
            <w:tcW w:w="4247" w:type="dxa"/>
          </w:tcPr>
          <w:p w14:paraId="76457C48"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0DBF30D" w14:textId="77777777" w:rsidTr="002B3E2A">
        <w:tc>
          <w:tcPr>
            <w:tcW w:w="4815" w:type="dxa"/>
            <w:shd w:val="clear" w:color="auto" w:fill="D9D9D9"/>
          </w:tcPr>
          <w:p w14:paraId="259952D5"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lastRenderedPageBreak/>
              <w:t xml:space="preserve">Słownie </w:t>
            </w:r>
            <w:r w:rsidRPr="003147E7">
              <w:rPr>
                <w:rFonts w:ascii="Franklin Gothic Book" w:hAnsi="Franklin Gothic Book" w:cs="Arial"/>
                <w:b/>
              </w:rPr>
              <w:t>netto:</w:t>
            </w:r>
          </w:p>
        </w:tc>
        <w:tc>
          <w:tcPr>
            <w:tcW w:w="4247" w:type="dxa"/>
          </w:tcPr>
          <w:p w14:paraId="060B76DF"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F3263FF" w14:textId="77777777" w:rsidTr="002B3E2A">
        <w:tc>
          <w:tcPr>
            <w:tcW w:w="4815" w:type="dxa"/>
            <w:shd w:val="clear" w:color="auto" w:fill="D9D9D9"/>
          </w:tcPr>
          <w:p w14:paraId="1107E961"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7790F5CB"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2493F910" w14:textId="77777777" w:rsidTr="002B3E2A">
        <w:tc>
          <w:tcPr>
            <w:tcW w:w="4815" w:type="dxa"/>
            <w:shd w:val="clear" w:color="auto" w:fill="D9D9D9"/>
          </w:tcPr>
          <w:p w14:paraId="1B32F772"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0D4B80AC"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E878AFA" w14:textId="77777777" w:rsidTr="002B3E2A">
        <w:tc>
          <w:tcPr>
            <w:tcW w:w="4815" w:type="dxa"/>
            <w:shd w:val="clear" w:color="auto" w:fill="D9D9D9"/>
          </w:tcPr>
          <w:p w14:paraId="5BC6A597" w14:textId="12A0CC3B"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POWYKONAWCZO ZA </w:t>
            </w:r>
            <w:r w:rsidR="007B289A">
              <w:rPr>
                <w:rFonts w:ascii="Franklin Gothic Book" w:hAnsi="Franklin Gothic Book" w:cs="Arial"/>
              </w:rPr>
              <w:t>24</w:t>
            </w:r>
            <w:r w:rsidRPr="003147E7">
              <w:rPr>
                <w:rFonts w:ascii="Franklin Gothic Book" w:hAnsi="Franklin Gothic Book" w:cs="Arial"/>
              </w:rPr>
              <w:t xml:space="preserve"> MIESI</w:t>
            </w:r>
            <w:r w:rsidR="007B289A">
              <w:rPr>
                <w:rFonts w:ascii="Franklin Gothic Book" w:hAnsi="Franklin Gothic Book" w:cs="Arial"/>
              </w:rPr>
              <w:t>ĄCE</w:t>
            </w:r>
            <w:r w:rsidRPr="003147E7">
              <w:rPr>
                <w:rFonts w:ascii="Franklin Gothic Book" w:hAnsi="Franklin Gothic Book" w:cs="Arial"/>
              </w:rPr>
              <w:t xml:space="preserve"> [PLN]</w:t>
            </w:r>
          </w:p>
        </w:tc>
        <w:tc>
          <w:tcPr>
            <w:tcW w:w="4247" w:type="dxa"/>
          </w:tcPr>
          <w:p w14:paraId="6ECB7655"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19334F6B" w14:textId="77777777" w:rsidTr="002B3E2A">
        <w:tc>
          <w:tcPr>
            <w:tcW w:w="4815" w:type="dxa"/>
            <w:shd w:val="clear" w:color="auto" w:fill="D9D9D9"/>
          </w:tcPr>
          <w:p w14:paraId="00EB421C"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5C53E2DE"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1CA3255D" w14:textId="77777777" w:rsidTr="002B3E2A">
        <w:tc>
          <w:tcPr>
            <w:tcW w:w="4815" w:type="dxa"/>
            <w:shd w:val="clear" w:color="auto" w:fill="D9D9D9"/>
          </w:tcPr>
          <w:p w14:paraId="607A88F8" w14:textId="320CEB48"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POWYKONAWCZO ZA </w:t>
            </w:r>
            <w:r w:rsidR="007B289A">
              <w:rPr>
                <w:rFonts w:ascii="Franklin Gothic Book" w:hAnsi="Franklin Gothic Book" w:cs="Arial"/>
              </w:rPr>
              <w:t>24</w:t>
            </w:r>
            <w:r w:rsidRPr="003147E7">
              <w:rPr>
                <w:rFonts w:ascii="Franklin Gothic Book" w:hAnsi="Franklin Gothic Book" w:cs="Arial"/>
              </w:rPr>
              <w:t xml:space="preserve"> MIESI</w:t>
            </w:r>
            <w:r w:rsidR="007B289A">
              <w:rPr>
                <w:rFonts w:ascii="Franklin Gothic Book" w:hAnsi="Franklin Gothic Book" w:cs="Arial"/>
              </w:rPr>
              <w:t>ĄCE</w:t>
            </w:r>
            <w:r w:rsidRPr="003147E7">
              <w:rPr>
                <w:rFonts w:ascii="Franklin Gothic Book" w:hAnsi="Franklin Gothic Book" w:cs="Arial"/>
              </w:rPr>
              <w:t xml:space="preserve"> [PLN]</w:t>
            </w:r>
          </w:p>
        </w:tc>
        <w:tc>
          <w:tcPr>
            <w:tcW w:w="4247" w:type="dxa"/>
          </w:tcPr>
          <w:p w14:paraId="57E58EC6"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1895C868" w14:textId="77777777" w:rsidTr="002B3E2A">
        <w:tc>
          <w:tcPr>
            <w:tcW w:w="4815" w:type="dxa"/>
            <w:shd w:val="clear" w:color="auto" w:fill="D9D9D9"/>
          </w:tcPr>
          <w:p w14:paraId="39DD15AF"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7195BD8D"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7209E240" w14:textId="77777777" w:rsidTr="002B3E2A">
        <w:tc>
          <w:tcPr>
            <w:tcW w:w="4815" w:type="dxa"/>
            <w:shd w:val="clear" w:color="auto" w:fill="D9D9D9"/>
          </w:tcPr>
          <w:p w14:paraId="4535ECC3"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0C8CA69"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525D18B8" w14:textId="77777777" w:rsidTr="002B3E2A">
        <w:tc>
          <w:tcPr>
            <w:tcW w:w="4815" w:type="dxa"/>
            <w:shd w:val="clear" w:color="auto" w:fill="D9D9D9"/>
          </w:tcPr>
          <w:p w14:paraId="0039B5BA"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40FD5971"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5582BE12" w14:textId="77777777" w:rsidTr="002B3E2A">
        <w:tc>
          <w:tcPr>
            <w:tcW w:w="4815" w:type="dxa"/>
            <w:shd w:val="clear" w:color="auto" w:fill="D9D9D9"/>
          </w:tcPr>
          <w:p w14:paraId="588A3CCF" w14:textId="1B0FB6D1"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I POWYKONAWCZO ZA </w:t>
            </w:r>
            <w:r w:rsidR="007B289A">
              <w:rPr>
                <w:rFonts w:ascii="Franklin Gothic Book" w:hAnsi="Franklin Gothic Book" w:cs="Arial"/>
              </w:rPr>
              <w:t>24</w:t>
            </w:r>
            <w:r w:rsidRPr="003147E7">
              <w:rPr>
                <w:rFonts w:ascii="Franklin Gothic Book" w:hAnsi="Franklin Gothic Book" w:cs="Arial"/>
              </w:rPr>
              <w:t xml:space="preserve"> MIESI</w:t>
            </w:r>
            <w:r w:rsidR="007B289A">
              <w:rPr>
                <w:rFonts w:ascii="Franklin Gothic Book" w:hAnsi="Franklin Gothic Book" w:cs="Arial"/>
              </w:rPr>
              <w:t>ĄCE</w:t>
            </w:r>
            <w:r w:rsidRPr="003147E7" w:rsidDel="00351C64">
              <w:rPr>
                <w:rFonts w:ascii="Franklin Gothic Book" w:hAnsi="Franklin Gothic Book" w:cs="Arial"/>
              </w:rPr>
              <w:t xml:space="preserve"> </w:t>
            </w:r>
            <w:r w:rsidRPr="003147E7">
              <w:rPr>
                <w:rFonts w:ascii="Franklin Gothic Book" w:hAnsi="Franklin Gothic Book" w:cs="Arial"/>
              </w:rPr>
              <w:t>[PLN]</w:t>
            </w:r>
          </w:p>
        </w:tc>
        <w:tc>
          <w:tcPr>
            <w:tcW w:w="4247" w:type="dxa"/>
          </w:tcPr>
          <w:p w14:paraId="4A4BB59A"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36C296E4" w14:textId="77777777" w:rsidTr="002B3E2A">
        <w:tc>
          <w:tcPr>
            <w:tcW w:w="4815" w:type="dxa"/>
            <w:shd w:val="clear" w:color="auto" w:fill="D9D9D9"/>
          </w:tcPr>
          <w:p w14:paraId="13C28C50"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298D8F63"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428F8962" w14:textId="77777777" w:rsidTr="002B3E2A">
        <w:tc>
          <w:tcPr>
            <w:tcW w:w="4815" w:type="dxa"/>
            <w:shd w:val="clear" w:color="auto" w:fill="D9D9D9"/>
          </w:tcPr>
          <w:p w14:paraId="62237F12" w14:textId="29015042"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I POWYKONAWCZO ZA </w:t>
            </w:r>
            <w:r w:rsidR="007B289A">
              <w:rPr>
                <w:rFonts w:ascii="Franklin Gothic Book" w:hAnsi="Franklin Gothic Book" w:cs="Arial"/>
              </w:rPr>
              <w:t>24</w:t>
            </w:r>
            <w:r w:rsidRPr="003147E7">
              <w:rPr>
                <w:rFonts w:ascii="Franklin Gothic Book" w:hAnsi="Franklin Gothic Book" w:cs="Arial"/>
              </w:rPr>
              <w:t xml:space="preserve"> MIESI</w:t>
            </w:r>
            <w:r w:rsidR="007B289A">
              <w:rPr>
                <w:rFonts w:ascii="Franklin Gothic Book" w:hAnsi="Franklin Gothic Book" w:cs="Arial"/>
              </w:rPr>
              <w:t>ĄCE</w:t>
            </w:r>
            <w:r w:rsidRPr="003147E7">
              <w:rPr>
                <w:rFonts w:ascii="Franklin Gothic Book" w:hAnsi="Franklin Gothic Book" w:cs="Arial"/>
              </w:rPr>
              <w:t xml:space="preserve"> [PLN]</w:t>
            </w:r>
          </w:p>
        </w:tc>
        <w:tc>
          <w:tcPr>
            <w:tcW w:w="4247" w:type="dxa"/>
          </w:tcPr>
          <w:p w14:paraId="06CEB201"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743EF5CD" w14:textId="77777777" w:rsidTr="002B3E2A">
        <w:tc>
          <w:tcPr>
            <w:tcW w:w="4815" w:type="dxa"/>
            <w:shd w:val="clear" w:color="auto" w:fill="D9D9D9"/>
          </w:tcPr>
          <w:p w14:paraId="17965736"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7D9C6797"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0A37D754" w14:textId="77777777" w:rsidTr="002B3E2A">
        <w:tc>
          <w:tcPr>
            <w:tcW w:w="4815" w:type="dxa"/>
            <w:shd w:val="clear" w:color="auto" w:fill="D9D9D9"/>
          </w:tcPr>
          <w:p w14:paraId="2E68B3AF"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01C1FDF2" w14:textId="77777777" w:rsidR="003147E7" w:rsidRPr="003147E7" w:rsidRDefault="003147E7" w:rsidP="003147E7">
            <w:pPr>
              <w:pStyle w:val="Akapitzlist"/>
              <w:spacing w:after="40"/>
              <w:ind w:left="377"/>
              <w:jc w:val="both"/>
              <w:rPr>
                <w:rFonts w:ascii="Franklin Gothic Book" w:hAnsi="Franklin Gothic Book" w:cs="Arial"/>
              </w:rPr>
            </w:pPr>
          </w:p>
        </w:tc>
      </w:tr>
      <w:tr w:rsidR="003147E7" w:rsidRPr="003147E7" w14:paraId="475EF157" w14:textId="77777777" w:rsidTr="002B3E2A">
        <w:tc>
          <w:tcPr>
            <w:tcW w:w="4815" w:type="dxa"/>
            <w:shd w:val="clear" w:color="auto" w:fill="D9D9D9"/>
          </w:tcPr>
          <w:p w14:paraId="1B4C5DA7" w14:textId="77777777" w:rsidR="003147E7" w:rsidRPr="003147E7" w:rsidRDefault="003147E7" w:rsidP="003147E7">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5BB1999D" w14:textId="77777777" w:rsidR="003147E7" w:rsidRPr="003147E7" w:rsidRDefault="003147E7" w:rsidP="003147E7">
            <w:pPr>
              <w:pStyle w:val="Akapitzlist"/>
              <w:spacing w:after="40"/>
              <w:ind w:left="377"/>
              <w:jc w:val="both"/>
              <w:rPr>
                <w:rFonts w:ascii="Franklin Gothic Book" w:hAnsi="Franklin Gothic Book" w:cs="Arial"/>
              </w:rPr>
            </w:pPr>
          </w:p>
        </w:tc>
      </w:tr>
    </w:tbl>
    <w:p w14:paraId="205D7BE9" w14:textId="77777777" w:rsidR="001B48D0" w:rsidRPr="00491EFC" w:rsidRDefault="001B48D0" w:rsidP="001B48D0">
      <w:pPr>
        <w:pStyle w:val="Akapitzlist"/>
        <w:spacing w:after="40"/>
        <w:ind w:left="377"/>
        <w:jc w:val="both"/>
        <w:rPr>
          <w:rFonts w:ascii="Franklin Gothic Book" w:hAnsi="Franklin Gothic Book" w:cs="Arial"/>
        </w:rPr>
      </w:pPr>
    </w:p>
    <w:p w14:paraId="3D67634D" w14:textId="77777777" w:rsidR="00266866" w:rsidRPr="00F1451C" w:rsidRDefault="00266866" w:rsidP="004D158F">
      <w:pPr>
        <w:pStyle w:val="Akapitzlist"/>
        <w:numPr>
          <w:ilvl w:val="0"/>
          <w:numId w:val="19"/>
        </w:numPr>
        <w:spacing w:line="304" w:lineRule="exact"/>
        <w:contextualSpacing/>
        <w:jc w:val="both"/>
        <w:rPr>
          <w:rFonts w:ascii="Arial" w:hAnsi="Arial" w:cs="Arial"/>
          <w:sz w:val="22"/>
          <w:szCs w:val="22"/>
          <w:u w:val="single"/>
        </w:rPr>
      </w:pPr>
      <w:r w:rsidRPr="00F1451C">
        <w:rPr>
          <w:rFonts w:ascii="Arial" w:hAnsi="Arial" w:cs="Arial"/>
          <w:kern w:val="20"/>
          <w:sz w:val="22"/>
          <w:szCs w:val="22"/>
        </w:rPr>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425949A7" w14:textId="77777777" w:rsidR="00B90E3F" w:rsidRPr="0009576B" w:rsidRDefault="00B90E3F" w:rsidP="0009576B">
      <w:pPr>
        <w:spacing w:line="304" w:lineRule="exact"/>
        <w:jc w:val="both"/>
        <w:rPr>
          <w:rFonts w:ascii="Arial" w:hAnsi="Arial" w:cs="Arial"/>
          <w:sz w:val="22"/>
          <w:szCs w:val="22"/>
        </w:rPr>
      </w:pPr>
    </w:p>
    <w:p w14:paraId="766B6CD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266866">
        <w:rPr>
          <w:rFonts w:ascii="Arial" w:hAnsi="Arial" w:cs="Arial"/>
          <w:b/>
          <w:sz w:val="22"/>
          <w:szCs w:val="22"/>
        </w:rPr>
        <w:t>…………………</w:t>
      </w:r>
      <w:r w:rsidR="005176BA">
        <w:rPr>
          <w:rFonts w:ascii="Arial" w:hAnsi="Arial" w:cs="Arial"/>
          <w:b/>
          <w:sz w:val="22"/>
          <w:szCs w:val="22"/>
        </w:rPr>
        <w:t xml:space="preserve"> miesięcy</w:t>
      </w:r>
      <w:r w:rsidRPr="00F1451C">
        <w:rPr>
          <w:rFonts w:ascii="Arial" w:hAnsi="Arial" w:cs="Arial"/>
          <w:b/>
          <w:sz w:val="22"/>
          <w:szCs w:val="22"/>
        </w:rPr>
        <w:t xml:space="preserve"> .</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Wybór naszej oferty będzie/nie będzie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Oświadczamy że przedmiotowa dostawa/usługa: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266866">
        <w:rPr>
          <w:sz w:val="16"/>
          <w:szCs w:val="16"/>
        </w:rPr>
        <w:footnoteReference w:id="29"/>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30"/>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31"/>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E07CB7">
              <w:rPr>
                <w:rFonts w:ascii="Arial" w:hAnsi="Arial" w:cs="Arial"/>
                <w:sz w:val="22"/>
                <w:szCs w:val="22"/>
                <w:lang w:eastAsia="en-US"/>
              </w:rPr>
              <w:t>20</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12E07B1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398476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E72D2A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649F1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B5755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B0C2E2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60EEDD"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ACA85C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A8F953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2F9A090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4B7E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327E25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EBD17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4F01AE1"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F808878"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37AC36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EB02EE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73C183E"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E8A3749"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BB620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9C8663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7BDD9DE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57172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8704592" w14:textId="7FFE9A46" w:rsidR="00B90E3F" w:rsidRPr="00F1451C" w:rsidRDefault="00B90E3F" w:rsidP="00A6485B">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77777777"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bl>
    <w:p w14:paraId="7B603705" w14:textId="77777777"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77777777" w:rsidR="00B90E3F" w:rsidRPr="001444B0" w:rsidRDefault="00B90E3F" w:rsidP="001444B0">
      <w:pPr>
        <w:spacing w:line="304" w:lineRule="exact"/>
        <w:rPr>
          <w:rFonts w:ascii="Arial" w:hAnsi="Arial" w:cs="Arial"/>
          <w:sz w:val="22"/>
          <w:szCs w:val="22"/>
        </w:rPr>
        <w:sectPr w:rsidR="00B90E3F" w:rsidRPr="001444B0" w:rsidSect="00D138FB">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77777777" w:rsidR="00D71242" w:rsidRPr="003C7F5B" w:rsidRDefault="00D71242" w:rsidP="003C7F5B">
      <w:pPr>
        <w:spacing w:line="304" w:lineRule="exact"/>
        <w:rPr>
          <w:rFonts w:ascii="Arial" w:hAnsi="Arial" w:cs="Arial"/>
          <w:sz w:val="22"/>
          <w:szCs w:val="22"/>
        </w:rPr>
      </w:pPr>
    </w:p>
    <w:sectPr w:rsidR="00D71242" w:rsidRPr="003C7F5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CCDDD" w14:textId="77777777" w:rsidR="005F2E2B" w:rsidRDefault="005F2E2B">
      <w:r>
        <w:separator/>
      </w:r>
    </w:p>
  </w:endnote>
  <w:endnote w:type="continuationSeparator" w:id="0">
    <w:p w14:paraId="0EA743A6" w14:textId="77777777" w:rsidR="005F2E2B" w:rsidRDefault="005F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1A628D1C" w:rsidR="000F2DDD" w:rsidRDefault="000F2DDD">
    <w:pPr>
      <w:pStyle w:val="Stopka"/>
      <w:pBdr>
        <w:top w:val="single" w:sz="4" w:space="1" w:color="D9D9D9" w:themeColor="background1" w:themeShade="D9"/>
      </w:pBdr>
      <w:jc w:val="right"/>
    </w:pPr>
    <w:r>
      <w:fldChar w:fldCharType="begin"/>
    </w:r>
    <w:r>
      <w:instrText>PAGE   \* MERGEFORMAT</w:instrText>
    </w:r>
    <w:r>
      <w:fldChar w:fldCharType="separate"/>
    </w:r>
    <w:r w:rsidR="00C0279D">
      <w:rPr>
        <w:noProof/>
      </w:rPr>
      <w:t>32</w:t>
    </w:r>
    <w:r>
      <w:fldChar w:fldCharType="end"/>
    </w:r>
    <w:r>
      <w:t xml:space="preserve"> | </w:t>
    </w:r>
    <w:r>
      <w:rPr>
        <w:color w:val="7F7F7F" w:themeColor="background1" w:themeShade="7F"/>
        <w:spacing w:val="60"/>
      </w:rPr>
      <w:t>Strona</w:t>
    </w:r>
  </w:p>
  <w:p w14:paraId="171E1313" w14:textId="77777777" w:rsidR="000F2DDD" w:rsidRDefault="000F2D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0F2DDD" w:rsidRPr="00FA1618" w:rsidRDefault="000F2DD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0F2DDD" w:rsidRPr="00FA1618" w:rsidRDefault="000F2DD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0F2DDD" w:rsidRPr="00FA1618" w:rsidRDefault="000F2DD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18155" w14:textId="77777777" w:rsidR="005F2E2B" w:rsidRDefault="005F2E2B">
      <w:r>
        <w:separator/>
      </w:r>
    </w:p>
  </w:footnote>
  <w:footnote w:type="continuationSeparator" w:id="0">
    <w:p w14:paraId="6A204BA5" w14:textId="77777777" w:rsidR="005F2E2B" w:rsidRDefault="005F2E2B">
      <w:r>
        <w:continuationSeparator/>
      </w:r>
    </w:p>
  </w:footnote>
  <w:footnote w:id="1">
    <w:p w14:paraId="3ED56EA1" w14:textId="77777777" w:rsidR="000F2DDD" w:rsidRDefault="000F2DDD">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0F2DDD" w:rsidRDefault="000F2DDD"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77777777" w:rsidR="000F2DDD" w:rsidRDefault="000F2DDD"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 xml:space="preserve">z nomenklaturą wynikająca z rozporządzenia KOMISJI (WE) nr 213/2008 z dnia 28 listopada 2007 r. </w:t>
      </w:r>
      <w:proofErr w:type="spellStart"/>
      <w:r w:rsidRPr="003B598B">
        <w:rPr>
          <w:rFonts w:ascii="Arial" w:hAnsi="Arial" w:cs="Arial"/>
          <w:sz w:val="16"/>
          <w:szCs w:val="16"/>
        </w:rPr>
        <w:t>zmieniające</w:t>
      </w:r>
      <w:proofErr w:type="spellEnd"/>
      <w:r w:rsidRPr="003B598B">
        <w:rPr>
          <w:rFonts w:ascii="Arial" w:hAnsi="Arial" w:cs="Arial"/>
          <w:sz w:val="16"/>
          <w:szCs w:val="16"/>
        </w:rPr>
        <w:t xml:space="preserve"> </w:t>
      </w:r>
      <w:proofErr w:type="spellStart"/>
      <w:r w:rsidRPr="003B598B">
        <w:rPr>
          <w:rFonts w:ascii="Arial" w:hAnsi="Arial" w:cs="Arial"/>
          <w:sz w:val="16"/>
          <w:szCs w:val="16"/>
        </w:rPr>
        <w:t>rozporzą</w:t>
      </w:r>
      <w:r w:rsidRPr="00CB50FC">
        <w:rPr>
          <w:rFonts w:ascii="Arial" w:hAnsi="Arial" w:cs="Arial"/>
          <w:sz w:val="16"/>
          <w:szCs w:val="16"/>
        </w:rPr>
        <w:t>dzenie</w:t>
      </w:r>
      <w:proofErr w:type="spellEnd"/>
      <w:r w:rsidRPr="00CB50FC">
        <w:rPr>
          <w:rFonts w:ascii="Arial" w:hAnsi="Arial" w:cs="Arial"/>
          <w:sz w:val="16"/>
          <w:szCs w:val="16"/>
        </w:rPr>
        <w:t xml:space="preserve"> (WE) nr 2195/2002 Parlamentu Europejskiego i Rady w sprawie </w:t>
      </w:r>
      <w:proofErr w:type="spellStart"/>
      <w:r w:rsidRPr="00CB50FC">
        <w:rPr>
          <w:rFonts w:ascii="Arial" w:hAnsi="Arial" w:cs="Arial"/>
          <w:sz w:val="16"/>
          <w:szCs w:val="16"/>
        </w:rPr>
        <w:t>Wspólnego</w:t>
      </w:r>
      <w:proofErr w:type="spellEnd"/>
      <w:r w:rsidRPr="00CB50FC">
        <w:rPr>
          <w:rFonts w:ascii="Arial" w:hAnsi="Arial" w:cs="Arial"/>
          <w:sz w:val="16"/>
          <w:szCs w:val="16"/>
        </w:rPr>
        <w:t xml:space="preserve"> Słownika </w:t>
      </w:r>
      <w:proofErr w:type="spellStart"/>
      <w:r w:rsidRPr="00CB50FC">
        <w:rPr>
          <w:rFonts w:ascii="Arial" w:hAnsi="Arial" w:cs="Arial"/>
          <w:sz w:val="16"/>
          <w:szCs w:val="16"/>
        </w:rPr>
        <w:t>Zamówien</w:t>
      </w:r>
      <w:proofErr w:type="spellEnd"/>
      <w:r w:rsidRPr="00CB50FC">
        <w:rPr>
          <w:rFonts w:ascii="Arial" w:hAnsi="Arial" w:cs="Arial"/>
          <w:sz w:val="16"/>
          <w:szCs w:val="16"/>
        </w:rPr>
        <w:t xml:space="preserve">́ (CPV) oraz dyrektywy 2004/17/WE i 2004/18/WE Parlamentu Europejskiego i Rady </w:t>
      </w:r>
      <w:proofErr w:type="spellStart"/>
      <w:r w:rsidRPr="00CB50FC">
        <w:rPr>
          <w:rFonts w:ascii="Arial" w:hAnsi="Arial" w:cs="Arial"/>
          <w:sz w:val="16"/>
          <w:szCs w:val="16"/>
        </w:rPr>
        <w:t>dotycza</w:t>
      </w:r>
      <w:r w:rsidRPr="0072735E">
        <w:rPr>
          <w:rFonts w:ascii="Arial" w:hAnsi="Arial" w:cs="Arial"/>
          <w:sz w:val="16"/>
          <w:szCs w:val="16"/>
        </w:rPr>
        <w:t>̨ce</w:t>
      </w:r>
      <w:proofErr w:type="spellEnd"/>
      <w:r w:rsidRPr="0072735E">
        <w:rPr>
          <w:rFonts w:ascii="Arial" w:hAnsi="Arial" w:cs="Arial"/>
          <w:sz w:val="16"/>
          <w:szCs w:val="16"/>
        </w:rPr>
        <w:t xml:space="preserve"> procedur udzielania </w:t>
      </w:r>
      <w:proofErr w:type="spellStart"/>
      <w:r w:rsidRPr="0072735E">
        <w:rPr>
          <w:rFonts w:ascii="Arial" w:hAnsi="Arial" w:cs="Arial"/>
          <w:sz w:val="16"/>
          <w:szCs w:val="16"/>
        </w:rPr>
        <w:t>zamówien</w:t>
      </w:r>
      <w:proofErr w:type="spellEnd"/>
      <w:r w:rsidRPr="0072735E">
        <w:rPr>
          <w:rFonts w:ascii="Arial" w:hAnsi="Arial" w:cs="Arial"/>
          <w:sz w:val="16"/>
          <w:szCs w:val="16"/>
        </w:rPr>
        <w:t>́ publicznych w zakresie zmiany CPV.</w:t>
      </w:r>
    </w:p>
  </w:footnote>
  <w:footnote w:id="4">
    <w:p w14:paraId="269C1B3D" w14:textId="77777777" w:rsidR="000F2DDD" w:rsidRDefault="000F2DD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0F2DDD" w:rsidRDefault="000F2DD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0F2DDD" w:rsidRDefault="000F2DDD"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0F2DDD" w:rsidRDefault="000F2DDD">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0F2DDD" w:rsidRDefault="000F2DD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0D614185" w14:textId="77777777" w:rsidR="000F2DDD" w:rsidRDefault="000F2DDD" w:rsidP="00717985">
      <w:pPr>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Określić w dniach, tygodnia, miesiącach, latach od dnia zawarcia umowy, bądź poprzez wskazanie końcowej daty obowiązywania umowy. Zgodnie z art. 436 p.z.p. zasadą jest wskazanie terminu w </w:t>
      </w:r>
      <w:r w:rsidRPr="00717985">
        <w:rPr>
          <w:rFonts w:ascii="Arial" w:hAnsi="Arial" w:cs="Arial"/>
          <w:sz w:val="16"/>
          <w:szCs w:val="16"/>
          <w:shd w:val="clear" w:color="auto" w:fill="FFFFFF"/>
        </w:rPr>
        <w:t>dniach, tygodniach, miesiącach lub latach, chyba że wskazanie daty wykonania umowy jest uzasadnione obiektywną przyczyną.</w:t>
      </w:r>
    </w:p>
  </w:footnote>
  <w:footnote w:id="10">
    <w:p w14:paraId="671B32BA" w14:textId="77777777" w:rsidR="000F2DDD" w:rsidRDefault="000F2DD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1">
    <w:p w14:paraId="1975F83E" w14:textId="77777777" w:rsidR="000F2DDD" w:rsidRDefault="000F2DD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2">
    <w:p w14:paraId="5DC120DD" w14:textId="77777777" w:rsidR="000F2DDD" w:rsidRDefault="000F2DD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w:t>
      </w:r>
      <w:proofErr w:type="spellStart"/>
      <w:r>
        <w:rPr>
          <w:rFonts w:ascii="Arial" w:hAnsi="Arial" w:cs="Arial"/>
          <w:sz w:val="16"/>
          <w:szCs w:val="16"/>
        </w:rPr>
        <w:t>r.p.ś.d</w:t>
      </w:r>
      <w:proofErr w:type="spellEnd"/>
      <w:r>
        <w:rPr>
          <w:rFonts w:ascii="Arial" w:hAnsi="Arial" w:cs="Arial"/>
          <w:sz w:val="16"/>
          <w:szCs w:val="16"/>
        </w:rPr>
        <w:t xml:space="preserve">.)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3">
    <w:p w14:paraId="55169CEB" w14:textId="77777777" w:rsidR="000F2DDD" w:rsidRDefault="000F2DD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4">
    <w:p w14:paraId="5F8ECD05" w14:textId="77777777" w:rsidR="000F2DDD" w:rsidRDefault="000F2DD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5">
    <w:p w14:paraId="045C1701" w14:textId="77777777" w:rsidR="000F2DDD" w:rsidRDefault="000F2DDD">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6">
    <w:p w14:paraId="5BEB4133" w14:textId="77777777" w:rsidR="000F2DDD" w:rsidRDefault="000F2DDD" w:rsidP="008548A7">
      <w:pPr>
        <w:pStyle w:val="Tekstprzypisudolnego"/>
      </w:pPr>
      <w:r>
        <w:rPr>
          <w:rStyle w:val="Odwoanieprzypisudolnego"/>
        </w:rPr>
        <w:footnoteRef/>
      </w:r>
      <w:r>
        <w:t xml:space="preserve"> </w:t>
      </w:r>
      <w:r w:rsidRPr="00085FA3">
        <w:rPr>
          <w:rFonts w:ascii="Arial" w:hAnsi="Arial" w:cs="Arial"/>
          <w:sz w:val="16"/>
          <w:szCs w:val="16"/>
        </w:rPr>
        <w:t xml:space="preserve">Zgodnie z § 2 ust. 1 pkt 2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7">
    <w:p w14:paraId="6B313870" w14:textId="77777777" w:rsidR="000F2DDD" w:rsidRDefault="000F2DDD"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8">
    <w:p w14:paraId="5A4F04A4" w14:textId="77777777" w:rsidR="000F2DDD" w:rsidRDefault="000F2DD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9">
    <w:p w14:paraId="2471ED68" w14:textId="77777777" w:rsidR="000F2DDD" w:rsidRDefault="000F2DD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0">
    <w:p w14:paraId="41AD82DA" w14:textId="77777777" w:rsidR="000F2DDD" w:rsidRDefault="000F2DD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1">
    <w:p w14:paraId="3881B764" w14:textId="77777777" w:rsidR="000F2DDD" w:rsidRDefault="000F2DD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w:t>
      </w:r>
      <w:proofErr w:type="spellStart"/>
      <w:r w:rsidRPr="00085FA3">
        <w:rPr>
          <w:rFonts w:ascii="Arial" w:hAnsi="Arial" w:cs="Arial"/>
          <w:sz w:val="16"/>
          <w:szCs w:val="16"/>
        </w:rPr>
        <w:t>r.p.ś.d</w:t>
      </w:r>
      <w:proofErr w:type="spellEnd"/>
      <w:r w:rsidRPr="00085FA3">
        <w:rPr>
          <w:rFonts w:ascii="Arial" w:hAnsi="Arial" w:cs="Arial"/>
          <w:sz w:val="16"/>
          <w:szCs w:val="16"/>
        </w:rPr>
        <w:t>.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2">
    <w:p w14:paraId="63655B21" w14:textId="77777777" w:rsidR="000F2DDD" w:rsidRDefault="000F2DDD"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w:t>
      </w:r>
      <w:proofErr w:type="spellStart"/>
      <w:r w:rsidRPr="000F55A1">
        <w:rPr>
          <w:rFonts w:ascii="Arial" w:hAnsi="Arial" w:cs="Arial"/>
          <w:sz w:val="16"/>
          <w:szCs w:val="16"/>
        </w:rPr>
        <w:t>r.p.ś.d</w:t>
      </w:r>
      <w:proofErr w:type="spellEnd"/>
      <w:r w:rsidRPr="000F55A1">
        <w:rPr>
          <w:rFonts w:ascii="Arial" w:hAnsi="Arial" w:cs="Arial"/>
          <w:sz w:val="16"/>
          <w:szCs w:val="16"/>
        </w:rPr>
        <w:t>.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3">
    <w:p w14:paraId="4265FF18" w14:textId="77777777" w:rsidR="000F2DDD" w:rsidRDefault="000F2DD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4">
    <w:p w14:paraId="5DF80A18" w14:textId="77777777" w:rsidR="000F2DDD" w:rsidRDefault="000F2DD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5">
    <w:p w14:paraId="0FA81469" w14:textId="77777777" w:rsidR="000F2DDD" w:rsidRDefault="000F2DDD"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6">
    <w:p w14:paraId="3E23C3E1" w14:textId="77777777" w:rsidR="000F2DDD" w:rsidRDefault="000F2DD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7">
    <w:p w14:paraId="7D1E705E" w14:textId="77777777" w:rsidR="000F2DDD" w:rsidRDefault="000F2DDD" w:rsidP="006045FD">
      <w:pPr>
        <w:pStyle w:val="Tekstprzypisudolnego"/>
        <w:jc w:val="both"/>
      </w:pPr>
      <w:r w:rsidRPr="0016232D">
        <w:rPr>
          <w:rStyle w:val="Odwoanieprzypisudolnego"/>
          <w:rFonts w:ascii="Arial" w:hAnsi="Arial" w:cs="Arial"/>
          <w:sz w:val="16"/>
          <w:szCs w:val="16"/>
        </w:rPr>
        <w:footnoteRef/>
      </w:r>
      <w:r w:rsidRPr="0016232D">
        <w:rPr>
          <w:rFonts w:ascii="Arial" w:hAnsi="Arial" w:cs="Arial"/>
          <w:sz w:val="16"/>
          <w:szCs w:val="16"/>
        </w:rPr>
        <w:t xml:space="preserve"> Zgodnie z art. 452 p.z.p. wysokość zabezpieczenia ustala się w stosunku procentowym do ceny całkowitej podanej w ofercie albo maksymalnej wartości nominalnej zobowiązania zamawiającego wynikającego z umowy, jeżeli w ofercie podano cenę jednostkową lub ceny jednostkowe. Zabezpieczenie</w:t>
      </w:r>
      <w:r w:rsidRPr="006045FD">
        <w:rPr>
          <w:rFonts w:ascii="Arial" w:hAnsi="Arial" w:cs="Arial"/>
          <w:sz w:val="16"/>
          <w:szCs w:val="16"/>
        </w:rPr>
        <w:t xml:space="preserve"> ustala się w wysokości nieprzekraczającej 5% ceny całkowitej podanej w ofercie albo maksymalnej wartości nominalnej zobowiązania zamawiającego wynikającego z umowy. Zabezpieczenie można ustalić w wysokości większej niż określona w poprzednim zdaniu,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SWZ lub innych dokumentach zamówienia.</w:t>
      </w:r>
    </w:p>
  </w:footnote>
  <w:footnote w:id="28">
    <w:p w14:paraId="13C9B9FE" w14:textId="77777777" w:rsidR="000F2DDD" w:rsidRDefault="000F2DDD">
      <w:pPr>
        <w:pStyle w:val="Tekstprzypisudolnego"/>
      </w:pPr>
      <w:r w:rsidRPr="00F02DB9">
        <w:rPr>
          <w:rStyle w:val="Odwoanieprzypisudolnego"/>
          <w:rFonts w:ascii="Arial" w:hAnsi="Arial" w:cs="Arial"/>
          <w:sz w:val="16"/>
          <w:szCs w:val="16"/>
        </w:rPr>
        <w:footnoteRef/>
      </w:r>
      <w:r w:rsidRPr="00F02DB9">
        <w:rPr>
          <w:rFonts w:ascii="Arial" w:hAnsi="Arial" w:cs="Arial"/>
          <w:sz w:val="16"/>
          <w:szCs w:val="16"/>
        </w:rPr>
        <w:t xml:space="preserve"> Załączniki nie są ujęte we wzorze SWZ.</w:t>
      </w:r>
    </w:p>
  </w:footnote>
  <w:footnote w:id="29">
    <w:p w14:paraId="3CF0F1DB" w14:textId="77777777" w:rsidR="000F2DDD" w:rsidRDefault="000F2DDD" w:rsidP="00B90E3F">
      <w:pPr>
        <w:pStyle w:val="Tekstprzypisudolnego"/>
      </w:pPr>
      <w:r w:rsidRPr="00D74B9F">
        <w:rPr>
          <w:rStyle w:val="Odwoanieprzypisudolnego"/>
          <w:rFonts w:ascii="Times New Roman" w:hAnsi="Times New Roman"/>
        </w:rPr>
        <w:footnoteRef/>
      </w:r>
      <w:r w:rsidRPr="005803E7">
        <w:rPr>
          <w:rFonts w:ascii="Times New Roman" w:hAnsi="Times New Roman"/>
        </w:rPr>
        <w:t xml:space="preserve"> Pogrubiony zapis podlega wykreśleniu, w przypadku, gdy wizja lokalna nie jest obligatoryjna.</w:t>
      </w:r>
    </w:p>
  </w:footnote>
  <w:footnote w:id="30">
    <w:p w14:paraId="027B3B53" w14:textId="77777777" w:rsidR="000F2DDD" w:rsidRDefault="000F2DDD"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1">
    <w:p w14:paraId="4C9F8DAF" w14:textId="77777777" w:rsidR="000F2DDD" w:rsidRDefault="000F2DDD"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0F2DDD" w:rsidRPr="00EF38A0" w14:paraId="403D2BAD" w14:textId="77777777" w:rsidTr="00D21A69">
      <w:trPr>
        <w:trHeight w:val="1699"/>
      </w:trPr>
      <w:tc>
        <w:tcPr>
          <w:tcW w:w="3368" w:type="dxa"/>
        </w:tcPr>
        <w:p w14:paraId="48498999" w14:textId="77777777" w:rsidR="000F2DDD" w:rsidRPr="00EF38A0" w:rsidRDefault="000F2DDD"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0F2DDD" w:rsidRPr="00EF38A0" w:rsidRDefault="000F2DDD" w:rsidP="00EF38A0">
          <w:pPr>
            <w:tabs>
              <w:tab w:val="left" w:pos="3402"/>
              <w:tab w:val="center" w:pos="4536"/>
              <w:tab w:val="right" w:pos="9072"/>
            </w:tabs>
            <w:rPr>
              <w:rFonts w:ascii="Arial" w:hAnsi="Arial"/>
              <w:szCs w:val="20"/>
            </w:rPr>
          </w:pPr>
        </w:p>
        <w:p w14:paraId="085CEA5C" w14:textId="77777777" w:rsidR="000F2DDD" w:rsidRPr="00EF38A0" w:rsidRDefault="000F2DDD" w:rsidP="00EF38A0">
          <w:pPr>
            <w:tabs>
              <w:tab w:val="left" w:pos="3402"/>
              <w:tab w:val="center" w:pos="4536"/>
              <w:tab w:val="right" w:pos="9072"/>
            </w:tabs>
            <w:rPr>
              <w:rFonts w:ascii="Arial" w:hAnsi="Arial"/>
              <w:szCs w:val="20"/>
            </w:rPr>
          </w:pPr>
        </w:p>
        <w:p w14:paraId="6F97850A" w14:textId="77777777" w:rsidR="000F2DDD" w:rsidRPr="00EF38A0" w:rsidRDefault="000F2DDD" w:rsidP="00EF38A0">
          <w:pPr>
            <w:tabs>
              <w:tab w:val="left" w:pos="3402"/>
              <w:tab w:val="center" w:pos="4536"/>
              <w:tab w:val="right" w:pos="9072"/>
            </w:tabs>
            <w:rPr>
              <w:rFonts w:ascii="Arial" w:hAnsi="Arial"/>
              <w:szCs w:val="20"/>
            </w:rPr>
          </w:pPr>
        </w:p>
        <w:p w14:paraId="22D7C4A0" w14:textId="77777777" w:rsidR="000F2DDD" w:rsidRPr="00EF38A0" w:rsidRDefault="000F2DD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0F2DDD" w:rsidRPr="00EF38A0" w:rsidRDefault="000F2DD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0F2DDD" w:rsidRPr="00EF38A0" w:rsidRDefault="000F2DD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0F2DDD" w:rsidRPr="00EF38A0" w:rsidRDefault="000F2DD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0F2DDD" w:rsidRPr="00EF38A0" w:rsidRDefault="000F2DDD" w:rsidP="00EF38A0">
          <w:pPr>
            <w:tabs>
              <w:tab w:val="left" w:pos="3402"/>
              <w:tab w:val="center" w:pos="4536"/>
              <w:tab w:val="right" w:pos="9072"/>
            </w:tabs>
            <w:rPr>
              <w:rFonts w:ascii="Arial" w:hAnsi="Arial"/>
              <w:szCs w:val="20"/>
            </w:rPr>
          </w:pPr>
        </w:p>
        <w:p w14:paraId="4ADCD95F" w14:textId="77777777" w:rsidR="000F2DDD" w:rsidRPr="00EF38A0" w:rsidRDefault="000F2DDD" w:rsidP="00EF38A0">
          <w:pPr>
            <w:tabs>
              <w:tab w:val="left" w:pos="3402"/>
              <w:tab w:val="center" w:pos="4536"/>
              <w:tab w:val="right" w:pos="9072"/>
            </w:tabs>
            <w:rPr>
              <w:rFonts w:ascii="Arial" w:hAnsi="Arial"/>
              <w:szCs w:val="20"/>
            </w:rPr>
          </w:pPr>
        </w:p>
        <w:p w14:paraId="158BF3F8" w14:textId="77777777" w:rsidR="000F2DDD" w:rsidRPr="00EF38A0" w:rsidRDefault="000F2DDD" w:rsidP="00EF38A0">
          <w:pPr>
            <w:tabs>
              <w:tab w:val="left" w:pos="3402"/>
              <w:tab w:val="center" w:pos="4536"/>
              <w:tab w:val="right" w:pos="9072"/>
            </w:tabs>
            <w:rPr>
              <w:rFonts w:ascii="Arial" w:hAnsi="Arial"/>
              <w:szCs w:val="20"/>
            </w:rPr>
          </w:pPr>
        </w:p>
        <w:p w14:paraId="351B3E7F" w14:textId="77777777" w:rsidR="000F2DDD" w:rsidRPr="00EF38A0" w:rsidRDefault="000F2DD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0F2DDD" w:rsidRPr="00EF38A0" w:rsidRDefault="000F2DD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0F2DDD" w:rsidRDefault="000F2D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9"/>
  </w:num>
  <w:num w:numId="11">
    <w:abstractNumId w:val="21"/>
  </w:num>
  <w:num w:numId="12">
    <w:abstractNumId w:val="28"/>
  </w:num>
  <w:num w:numId="13">
    <w:abstractNumId w:val="26"/>
  </w:num>
  <w:num w:numId="14">
    <w:abstractNumId w:val="25"/>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4"/>
  </w:num>
  <w:num w:numId="28">
    <w:abstractNumId w:val="19"/>
  </w:num>
  <w:num w:numId="29">
    <w:abstractNumId w:val="22"/>
  </w:num>
  <w:num w:numId="30">
    <w:abstractNumId w:val="13"/>
  </w:num>
  <w:num w:numId="31">
    <w:abstractNumId w:val="27"/>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77C1"/>
    <w:rsid w:val="002B003C"/>
    <w:rsid w:val="002B03E0"/>
    <w:rsid w:val="002B155B"/>
    <w:rsid w:val="002B17F3"/>
    <w:rsid w:val="002B20D2"/>
    <w:rsid w:val="002B340A"/>
    <w:rsid w:val="002B36D6"/>
    <w:rsid w:val="002B3E2A"/>
    <w:rsid w:val="002B41D0"/>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345D"/>
    <w:rsid w:val="007034C3"/>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7AA"/>
    <w:rsid w:val="00A9093D"/>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paenea-pzp.logintrade.net/rejestracja/ustawowe.html"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upaenea-pzp.logintrade.net/rejestracja/ustawowe.html" TargetMode="External"/><Relationship Id="rId14" Type="http://schemas.openxmlformats.org/officeDocument/2006/relationships/hyperlink" Target="https://www.uzp.gov.pl/__data/assets/pdf_file/0016/30238/Rozporzadzenie_wykonawcze_KE_2016_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CB66-D475-4475-B060-1B3C3647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12922</Words>
  <Characters>77536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Madej Leszek</cp:lastModifiedBy>
  <cp:revision>5</cp:revision>
  <cp:lastPrinted>2021-07-23T05:01:00Z</cp:lastPrinted>
  <dcterms:created xsi:type="dcterms:W3CDTF">2021-07-19T10:35:00Z</dcterms:created>
  <dcterms:modified xsi:type="dcterms:W3CDTF">2021-07-23T05:15:00Z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